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FCAD8">
      <w:pPr>
        <w:keepNext w:val="0"/>
        <w:keepLines w:val="0"/>
        <w:pageBreakBefore w:val="0"/>
        <w:kinsoku/>
        <w:overflowPunct/>
        <w:topLinePunct w:val="0"/>
        <w:bidi w:val="0"/>
        <w:snapToGrid/>
        <w:spacing w:line="600" w:lineRule="exact"/>
        <w:ind w:left="0" w:leftChars="0" w:firstLine="0" w:firstLineChars="0"/>
        <w:jc w:val="center"/>
        <w:textAlignment w:val="auto"/>
        <w:rPr>
          <w:rFonts w:ascii="方正小标宋简体" w:hAnsi="宋体" w:eastAsia="方正小标宋简体"/>
          <w:color w:val="auto"/>
          <w:sz w:val="44"/>
          <w:szCs w:val="32"/>
        </w:rPr>
      </w:pPr>
      <w:r>
        <w:rPr>
          <w:rFonts w:hint="eastAsia" w:ascii="方正小标宋简体" w:hAnsi="宋体" w:eastAsia="方正小标宋简体"/>
          <w:color w:val="auto"/>
          <w:sz w:val="44"/>
          <w:szCs w:val="32"/>
        </w:rPr>
        <w:t>团体标准《地中海水牛母牛体型线性评定技术规范》（征求意见稿）编制说明</w:t>
      </w:r>
    </w:p>
    <w:p w14:paraId="7545AED6">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p>
    <w:p w14:paraId="0D5136F0">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一、任务来源、起草单位、主要起草人</w:t>
      </w:r>
    </w:p>
    <w:p w14:paraId="7FB55DF0">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highlight w:val="none"/>
        </w:rPr>
        <w:t>根据《广西标准化协会关于下达20</w:t>
      </w:r>
      <w:r>
        <w:rPr>
          <w:rFonts w:hint="eastAsia" w:ascii="仿宋_GB2312" w:hAnsi="宋体"/>
          <w:color w:val="auto"/>
          <w:sz w:val="32"/>
          <w:szCs w:val="28"/>
          <w:highlight w:val="none"/>
          <w:lang w:val="en-US" w:eastAsia="zh-CN"/>
        </w:rPr>
        <w:t>26</w:t>
      </w:r>
      <w:r>
        <w:rPr>
          <w:rFonts w:hint="eastAsia" w:ascii="仿宋_GB2312" w:hAnsi="宋体" w:eastAsia="仿宋_GB2312"/>
          <w:color w:val="auto"/>
          <w:sz w:val="32"/>
          <w:szCs w:val="28"/>
          <w:highlight w:val="none"/>
        </w:rPr>
        <w:t>年第</w:t>
      </w:r>
      <w:r>
        <w:rPr>
          <w:rFonts w:hint="eastAsia" w:ascii="仿宋_GB2312" w:hAnsi="宋体"/>
          <w:color w:val="auto"/>
          <w:sz w:val="32"/>
          <w:szCs w:val="28"/>
          <w:highlight w:val="none"/>
          <w:lang w:val="en-US" w:eastAsia="zh-CN"/>
        </w:rPr>
        <w:t>二十</w:t>
      </w:r>
      <w:r>
        <w:rPr>
          <w:rFonts w:hint="eastAsia" w:ascii="仿宋_GB2312" w:hAnsi="宋体" w:eastAsia="仿宋_GB2312"/>
          <w:color w:val="auto"/>
          <w:sz w:val="32"/>
          <w:szCs w:val="28"/>
          <w:highlight w:val="none"/>
        </w:rPr>
        <w:t>批团体标准制修订项目计划的通知》（桂标协〔20</w:t>
      </w:r>
      <w:r>
        <w:rPr>
          <w:rFonts w:hint="eastAsia" w:ascii="仿宋_GB2312" w:hAnsi="宋体"/>
          <w:color w:val="auto"/>
          <w:sz w:val="32"/>
          <w:szCs w:val="28"/>
          <w:highlight w:val="none"/>
          <w:lang w:val="en-US" w:eastAsia="zh-CN"/>
        </w:rPr>
        <w:t>26</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220</w:t>
      </w:r>
      <w:r>
        <w:rPr>
          <w:rFonts w:hint="eastAsia" w:ascii="仿宋_GB2312" w:hAnsi="宋体" w:eastAsia="仿宋_GB2312"/>
          <w:color w:val="auto"/>
          <w:sz w:val="32"/>
          <w:szCs w:val="28"/>
          <w:highlight w:val="none"/>
        </w:rPr>
        <w:t>号）文件精神，由</w:t>
      </w:r>
      <w:r>
        <w:rPr>
          <w:rFonts w:hint="eastAsia" w:ascii="仿宋_GB2312" w:hAnsi="宋体"/>
          <w:color w:val="auto"/>
          <w:sz w:val="32"/>
          <w:szCs w:val="28"/>
          <w:highlight w:val="none"/>
          <w:lang w:val="en-US" w:eastAsia="zh-CN"/>
        </w:rPr>
        <w:t>广西壮族自治区水牛研究所</w:t>
      </w:r>
      <w:r>
        <w:rPr>
          <w:rFonts w:hint="eastAsia" w:ascii="仿宋_GB2312" w:hAnsi="宋体" w:eastAsia="仿宋_GB2312"/>
          <w:color w:val="auto"/>
          <w:sz w:val="32"/>
          <w:szCs w:val="28"/>
          <w:highlight w:val="none"/>
        </w:rPr>
        <w:t>提出，</w:t>
      </w:r>
      <w:r>
        <w:rPr>
          <w:rFonts w:hint="eastAsia" w:ascii="仿宋_GB2312" w:hAnsi="宋体"/>
          <w:color w:val="auto"/>
          <w:sz w:val="32"/>
          <w:szCs w:val="28"/>
          <w:highlight w:val="none"/>
          <w:lang w:val="en-US" w:eastAsia="zh-CN"/>
        </w:rPr>
        <w:t>广西壮族自治区水牛研究所、中国农业大学、中国农业科学院北京畜牧兽医研究所、广西壮族自治区畜牧站、广西壮族自治区畜禽品种改良站、广西农业职业技术大学、灵山县畜牧技术服务站、广西农业工程职业技术学院、皇氏赛尔生物科技(广西)有限公司、广西灵山百菲奶水牛养殖有限公司、来宾市畜牧水产养殖服务中心</w:t>
      </w:r>
      <w:r>
        <w:rPr>
          <w:rFonts w:hint="eastAsia" w:ascii="仿宋_GB2312" w:hAnsi="宋体" w:eastAsia="仿宋_GB2312"/>
          <w:color w:val="auto"/>
          <w:sz w:val="32"/>
          <w:szCs w:val="28"/>
          <w:highlight w:val="none"/>
        </w:rPr>
        <w:t>等</w:t>
      </w:r>
      <w:r>
        <w:rPr>
          <w:rFonts w:ascii="仿宋_GB2312" w:hAnsi="宋体" w:eastAsia="仿宋_GB2312"/>
          <w:color w:val="auto"/>
          <w:sz w:val="32"/>
          <w:szCs w:val="28"/>
          <w:highlight w:val="none"/>
        </w:rPr>
        <w:t>单位</w:t>
      </w:r>
      <w:r>
        <w:rPr>
          <w:rFonts w:hint="eastAsia" w:ascii="仿宋_GB2312" w:hAnsi="宋体" w:eastAsia="仿宋_GB2312"/>
          <w:color w:val="auto"/>
          <w:sz w:val="32"/>
          <w:szCs w:val="28"/>
          <w:highlight w:val="none"/>
        </w:rPr>
        <w:t>共同起草的团体标准《</w:t>
      </w:r>
      <w:r>
        <w:rPr>
          <w:rFonts w:hint="eastAsia" w:ascii="仿宋_GB2312" w:hAnsi="宋体"/>
          <w:color w:val="auto"/>
          <w:sz w:val="32"/>
          <w:szCs w:val="28"/>
          <w:highlight w:val="none"/>
          <w:lang w:val="en-US" w:eastAsia="zh-CN"/>
        </w:rPr>
        <w:t>地中海</w:t>
      </w:r>
      <w:r>
        <w:rPr>
          <w:rFonts w:hint="eastAsia" w:ascii="仿宋_GB2312" w:hAnsi="宋体" w:eastAsia="仿宋_GB2312"/>
          <w:color w:val="auto"/>
          <w:sz w:val="32"/>
          <w:szCs w:val="28"/>
          <w:highlight w:val="none"/>
        </w:rPr>
        <w:t>水牛母牛体型线性评定技术规范》（项目编号：20</w:t>
      </w:r>
      <w:r>
        <w:rPr>
          <w:rFonts w:hint="eastAsia" w:ascii="仿宋_GB2312" w:hAnsi="宋体"/>
          <w:color w:val="auto"/>
          <w:sz w:val="32"/>
          <w:szCs w:val="28"/>
          <w:highlight w:val="none"/>
          <w:lang w:val="en-US" w:eastAsia="zh-CN"/>
        </w:rPr>
        <w:t>26</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2015</w:t>
      </w:r>
      <w:r>
        <w:rPr>
          <w:rFonts w:hint="eastAsia" w:ascii="仿宋_GB2312" w:hAnsi="宋体" w:eastAsia="仿宋_GB2312"/>
          <w:color w:val="auto"/>
          <w:sz w:val="32"/>
          <w:szCs w:val="28"/>
          <w:highlight w:val="none"/>
        </w:rPr>
        <w:t>）已获批</w:t>
      </w:r>
      <w:r>
        <w:rPr>
          <w:rFonts w:hint="eastAsia" w:ascii="仿宋_GB2312" w:hAnsi="宋体" w:eastAsia="仿宋_GB2312"/>
          <w:color w:val="auto"/>
          <w:sz w:val="32"/>
          <w:szCs w:val="28"/>
        </w:rPr>
        <w:t>立项。</w:t>
      </w:r>
    </w:p>
    <w:p w14:paraId="134AFA4C">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为高质量编制团体标准《</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水牛母牛体型线性评定技术规范》，由起草单位成立标准编制工作组并进行如下分工：</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1536"/>
        <w:gridCol w:w="1415"/>
        <w:gridCol w:w="1870"/>
        <w:gridCol w:w="3375"/>
      </w:tblGrid>
      <w:tr w14:paraId="3F971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trPr>
        <w:tc>
          <w:tcPr>
            <w:tcW w:w="533" w:type="pct"/>
            <w:noWrap w:val="0"/>
            <w:vAlign w:val="center"/>
          </w:tcPr>
          <w:p w14:paraId="5EF364AE">
            <w:pPr>
              <w:ind w:firstLine="0" w:firstLineChars="0"/>
              <w:jc w:val="center"/>
              <w:rPr>
                <w:rFonts w:hint="eastAsia" w:ascii="仿宋_GB2312" w:hAnsi="仿宋_GB2312" w:eastAsia="仿宋_GB2312" w:cs="仿宋_GB2312"/>
                <w:b/>
                <w:sz w:val="24"/>
              </w:rPr>
            </w:pPr>
            <w:r>
              <w:rPr>
                <w:rFonts w:hint="eastAsia" w:ascii="仿宋_GB2312" w:hAnsi="仿宋_GB2312" w:eastAsia="仿宋_GB2312" w:cs="仿宋_GB2312"/>
                <w:b/>
                <w:sz w:val="24"/>
              </w:rPr>
              <w:t>姓名</w:t>
            </w:r>
          </w:p>
        </w:tc>
        <w:tc>
          <w:tcPr>
            <w:tcW w:w="837" w:type="pct"/>
            <w:noWrap w:val="0"/>
            <w:vAlign w:val="center"/>
          </w:tcPr>
          <w:p w14:paraId="253AE7DF">
            <w:pPr>
              <w:ind w:firstLine="0" w:firstLineChars="0"/>
              <w:jc w:val="center"/>
              <w:rPr>
                <w:rFonts w:hint="eastAsia" w:ascii="仿宋_GB2312" w:hAnsi="仿宋_GB2312" w:eastAsia="仿宋_GB2312" w:cs="仿宋_GB2312"/>
                <w:b/>
                <w:sz w:val="24"/>
              </w:rPr>
            </w:pPr>
            <w:r>
              <w:rPr>
                <w:rFonts w:hint="eastAsia" w:ascii="仿宋_GB2312" w:hAnsi="仿宋_GB2312" w:eastAsia="仿宋_GB2312" w:cs="仿宋_GB2312"/>
                <w:b/>
                <w:sz w:val="24"/>
              </w:rPr>
              <w:t>职务/职称</w:t>
            </w:r>
          </w:p>
        </w:tc>
        <w:tc>
          <w:tcPr>
            <w:tcW w:w="771" w:type="pct"/>
            <w:noWrap w:val="0"/>
            <w:vAlign w:val="center"/>
          </w:tcPr>
          <w:p w14:paraId="3C74F204">
            <w:pPr>
              <w:ind w:firstLine="0" w:firstLineChars="0"/>
              <w:jc w:val="center"/>
              <w:rPr>
                <w:rFonts w:hint="eastAsia" w:ascii="仿宋_GB2312" w:hAnsi="仿宋_GB2312" w:eastAsia="仿宋_GB2312" w:cs="仿宋_GB2312"/>
                <w:b/>
                <w:sz w:val="24"/>
              </w:rPr>
            </w:pPr>
            <w:r>
              <w:rPr>
                <w:rFonts w:hint="eastAsia" w:ascii="仿宋_GB2312" w:hAnsi="仿宋_GB2312" w:eastAsia="仿宋_GB2312" w:cs="仿宋_GB2312"/>
                <w:b/>
                <w:sz w:val="24"/>
              </w:rPr>
              <w:t>从事专业</w:t>
            </w:r>
          </w:p>
        </w:tc>
        <w:tc>
          <w:tcPr>
            <w:tcW w:w="1019" w:type="pct"/>
            <w:noWrap w:val="0"/>
            <w:vAlign w:val="center"/>
          </w:tcPr>
          <w:p w14:paraId="300A3796">
            <w:pPr>
              <w:ind w:firstLine="0" w:firstLineChars="0"/>
              <w:jc w:val="center"/>
              <w:rPr>
                <w:rFonts w:hint="eastAsia" w:ascii="仿宋_GB2312" w:hAnsi="仿宋_GB2312" w:eastAsia="仿宋_GB2312" w:cs="仿宋_GB2312"/>
                <w:b/>
                <w:sz w:val="24"/>
              </w:rPr>
            </w:pPr>
            <w:r>
              <w:rPr>
                <w:rFonts w:hint="eastAsia" w:ascii="仿宋_GB2312" w:hAnsi="仿宋_GB2312" w:eastAsia="仿宋_GB2312" w:cs="仿宋_GB2312"/>
                <w:b/>
                <w:sz w:val="24"/>
              </w:rPr>
              <w:t>工作单位</w:t>
            </w:r>
          </w:p>
        </w:tc>
        <w:tc>
          <w:tcPr>
            <w:tcW w:w="1839" w:type="pct"/>
            <w:noWrap w:val="0"/>
            <w:vAlign w:val="center"/>
          </w:tcPr>
          <w:p w14:paraId="5D77DB4B">
            <w:pPr>
              <w:ind w:firstLine="0" w:firstLineChars="0"/>
              <w:jc w:val="center"/>
              <w:rPr>
                <w:rFonts w:hint="eastAsia" w:ascii="仿宋_GB2312" w:hAnsi="仿宋_GB2312" w:eastAsia="仿宋_GB2312" w:cs="仿宋_GB2312"/>
                <w:b/>
                <w:sz w:val="24"/>
              </w:rPr>
            </w:pPr>
            <w:r>
              <w:rPr>
                <w:rFonts w:hint="eastAsia" w:ascii="仿宋_GB2312" w:hAnsi="仿宋_GB2312" w:eastAsia="仿宋_GB2312" w:cs="仿宋_GB2312"/>
                <w:b/>
                <w:sz w:val="24"/>
              </w:rPr>
              <w:t>责任分工</w:t>
            </w:r>
          </w:p>
        </w:tc>
      </w:tr>
      <w:tr w14:paraId="508AC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noWrap w:val="0"/>
            <w:vAlign w:val="center"/>
          </w:tcPr>
          <w:p w14:paraId="7F709F20">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鄢胜飞</w:t>
            </w:r>
          </w:p>
        </w:tc>
        <w:tc>
          <w:tcPr>
            <w:tcW w:w="837" w:type="pct"/>
            <w:noWrap w:val="0"/>
            <w:vAlign w:val="center"/>
          </w:tcPr>
          <w:p w14:paraId="2E75E509">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科长/高级畜牧师</w:t>
            </w:r>
          </w:p>
        </w:tc>
        <w:tc>
          <w:tcPr>
            <w:tcW w:w="771" w:type="pct"/>
            <w:noWrap w:val="0"/>
            <w:vAlign w:val="center"/>
          </w:tcPr>
          <w:p w14:paraId="22193FAC">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1307778C">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080AB229">
            <w:pPr>
              <w:ind w:firstLine="0" w:firstLineChars="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统筹主持标准编制工作</w:t>
            </w:r>
          </w:p>
        </w:tc>
      </w:tr>
      <w:tr w14:paraId="3627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noWrap w:val="0"/>
            <w:vAlign w:val="center"/>
          </w:tcPr>
          <w:p w14:paraId="28D1DFC1">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cs="仿宋_GB2312"/>
                <w:sz w:val="24"/>
              </w:rPr>
              <w:t>曾令湖</w:t>
            </w:r>
          </w:p>
        </w:tc>
        <w:tc>
          <w:tcPr>
            <w:tcW w:w="837" w:type="pct"/>
            <w:noWrap w:val="0"/>
            <w:vAlign w:val="center"/>
          </w:tcPr>
          <w:p w14:paraId="5B261A8F">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副主任/畜牧师</w:t>
            </w:r>
          </w:p>
        </w:tc>
        <w:tc>
          <w:tcPr>
            <w:tcW w:w="771" w:type="pct"/>
            <w:noWrap w:val="0"/>
            <w:vAlign w:val="center"/>
          </w:tcPr>
          <w:p w14:paraId="22C30C7F">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71DD4B62">
            <w:pPr>
              <w:ind w:firstLine="0" w:firstLineChars="0"/>
              <w:jc w:val="center"/>
              <w:rPr>
                <w:rFonts w:hint="eastAsia" w:ascii="仿宋_GB2312" w:hAnsi="仿宋_GB2312" w:eastAsia="仿宋_GB2312" w:cs="仿宋_GB2312"/>
                <w:color w:val="000000"/>
                <w:sz w:val="24"/>
                <w:lang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58894EC0">
            <w:pPr>
              <w:ind w:firstLine="0" w:firstLineChars="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统筹标准</w:t>
            </w:r>
            <w:r>
              <w:rPr>
                <w:rFonts w:hint="eastAsia" w:ascii="仿宋_GB2312" w:hAnsi="仿宋_GB2312" w:eastAsia="仿宋_GB2312" w:cs="仿宋_GB2312"/>
                <w:sz w:val="24"/>
                <w:lang w:val="en-US" w:eastAsia="zh-CN" w:bidi="ar"/>
              </w:rPr>
              <w:t>立项、起草、审定、发布、宣贯等</w:t>
            </w:r>
            <w:r>
              <w:rPr>
                <w:rFonts w:hint="eastAsia" w:ascii="仿宋_GB2312" w:hAnsi="仿宋_GB2312" w:eastAsia="仿宋_GB2312" w:cs="仿宋_GB2312"/>
                <w:sz w:val="24"/>
                <w:lang w:bidi="ar"/>
              </w:rPr>
              <w:t>工作</w:t>
            </w:r>
          </w:p>
        </w:tc>
      </w:tr>
      <w:tr w14:paraId="7FB3E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noWrap w:val="0"/>
            <w:vAlign w:val="center"/>
          </w:tcPr>
          <w:p w14:paraId="34F25021">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cs="仿宋_GB2312"/>
                <w:sz w:val="24"/>
              </w:rPr>
              <w:t>刘贵贤</w:t>
            </w:r>
          </w:p>
        </w:tc>
        <w:tc>
          <w:tcPr>
            <w:tcW w:w="837" w:type="pct"/>
            <w:noWrap w:val="0"/>
            <w:vAlign w:val="center"/>
          </w:tcPr>
          <w:p w14:paraId="0951792E">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w:t>
            </w:r>
          </w:p>
        </w:tc>
        <w:tc>
          <w:tcPr>
            <w:tcW w:w="771" w:type="pct"/>
            <w:noWrap w:val="0"/>
            <w:vAlign w:val="center"/>
          </w:tcPr>
          <w:p w14:paraId="6005BF43">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0FA2B087">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085E0990">
            <w:pPr>
              <w:ind w:firstLine="0" w:firstLineChars="0"/>
              <w:jc w:val="left"/>
              <w:rPr>
                <w:rFonts w:hint="eastAsia" w:ascii="仿宋_GB2312" w:hAnsi="仿宋_GB2312" w:eastAsia="仿宋_GB2312" w:cs="仿宋_GB2312"/>
                <w:sz w:val="24"/>
                <w:lang w:bidi="ar"/>
              </w:rPr>
            </w:pPr>
            <w:r>
              <w:rPr>
                <w:rFonts w:hint="eastAsia" w:ascii="仿宋_GB2312" w:hAnsi="仿宋_GB2312" w:eastAsia="仿宋_GB2312" w:cs="仿宋_GB2312"/>
                <w:color w:val="000000"/>
                <w:sz w:val="24"/>
                <w:lang w:bidi="ar"/>
              </w:rPr>
              <w:t>参与标准文本及编制说明的编写；</w:t>
            </w:r>
            <w:r>
              <w:rPr>
                <w:rFonts w:hint="eastAsia" w:ascii="仿宋_GB2312" w:hAnsi="仿宋_GB2312" w:eastAsia="仿宋_GB2312" w:cs="仿宋_GB2312"/>
                <w:color w:val="000000"/>
                <w:sz w:val="24"/>
                <w:lang w:val="en-US" w:eastAsia="zh-CN" w:bidi="ar"/>
              </w:rPr>
              <w:t>相关佐证收集；</w:t>
            </w:r>
            <w:r>
              <w:rPr>
                <w:rFonts w:hint="eastAsia" w:ascii="仿宋_GB2312" w:hAnsi="仿宋_GB2312" w:eastAsia="仿宋_GB2312" w:cs="仿宋_GB2312"/>
                <w:color w:val="000000"/>
                <w:sz w:val="24"/>
                <w:lang w:bidi="ar"/>
              </w:rPr>
              <w:t>对标准实施情况进行总结分析，不断对团体标准提出修正意见</w:t>
            </w:r>
          </w:p>
        </w:tc>
      </w:tr>
      <w:tr w14:paraId="6918A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noWrap w:val="0"/>
            <w:vAlign w:val="center"/>
          </w:tcPr>
          <w:p w14:paraId="46DB6F3E">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覃广胜</w:t>
            </w:r>
          </w:p>
        </w:tc>
        <w:tc>
          <w:tcPr>
            <w:tcW w:w="837" w:type="pct"/>
            <w:noWrap w:val="0"/>
            <w:vAlign w:val="center"/>
          </w:tcPr>
          <w:p w14:paraId="77F76FF4">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副所长/研究员</w:t>
            </w:r>
          </w:p>
        </w:tc>
        <w:tc>
          <w:tcPr>
            <w:tcW w:w="771" w:type="pct"/>
            <w:noWrap w:val="0"/>
            <w:vAlign w:val="center"/>
          </w:tcPr>
          <w:p w14:paraId="3BB432D4">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7E45929B">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3D478753">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bidi="ar"/>
              </w:rPr>
              <w:t>与标准文本及编制说明的编写；组织开展标准征求意见会；对标准实施情况进行总结分析，不断对团体标准提出修正意见。</w:t>
            </w:r>
          </w:p>
        </w:tc>
      </w:tr>
      <w:tr w14:paraId="00FC2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noWrap w:val="0"/>
            <w:vAlign w:val="center"/>
          </w:tcPr>
          <w:p w14:paraId="12DD14D9">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张毅</w:t>
            </w:r>
          </w:p>
        </w:tc>
        <w:tc>
          <w:tcPr>
            <w:tcW w:w="837" w:type="pct"/>
            <w:noWrap w:val="0"/>
            <w:vAlign w:val="center"/>
          </w:tcPr>
          <w:p w14:paraId="2940C2E9">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研究员</w:t>
            </w:r>
          </w:p>
        </w:tc>
        <w:tc>
          <w:tcPr>
            <w:tcW w:w="771" w:type="pct"/>
            <w:noWrap w:val="0"/>
            <w:vAlign w:val="center"/>
          </w:tcPr>
          <w:p w14:paraId="02537F24">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动物遗传育种</w:t>
            </w:r>
          </w:p>
        </w:tc>
        <w:tc>
          <w:tcPr>
            <w:tcW w:w="1019" w:type="pct"/>
            <w:noWrap w:val="0"/>
            <w:vAlign w:val="center"/>
          </w:tcPr>
          <w:p w14:paraId="5D39FAF9">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中国农业大学</w:t>
            </w:r>
          </w:p>
        </w:tc>
        <w:tc>
          <w:tcPr>
            <w:tcW w:w="1839" w:type="pct"/>
            <w:noWrap w:val="0"/>
            <w:vAlign w:val="center"/>
          </w:tcPr>
          <w:p w14:paraId="220ADED4">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参与标准文本及编制说明的编写；</w:t>
            </w:r>
            <w:r>
              <w:rPr>
                <w:rFonts w:hint="eastAsia" w:ascii="仿宋_GB2312" w:hAnsi="仿宋_GB2312" w:eastAsia="仿宋_GB2312" w:cs="仿宋_GB2312"/>
                <w:color w:val="000000"/>
                <w:sz w:val="24"/>
                <w:lang w:val="en-US" w:eastAsia="zh-CN" w:bidi="ar"/>
              </w:rPr>
              <w:t>相关佐证收集；</w:t>
            </w:r>
            <w:r>
              <w:rPr>
                <w:rFonts w:hint="eastAsia" w:ascii="仿宋_GB2312" w:hAnsi="仿宋_GB2312" w:eastAsia="仿宋_GB2312" w:cs="仿宋_GB2312"/>
                <w:color w:val="000000"/>
                <w:sz w:val="24"/>
                <w:lang w:bidi="ar"/>
              </w:rPr>
              <w:t>对标准实施情况进行总结分析，不断对团体标准提出修正意见</w:t>
            </w:r>
          </w:p>
        </w:tc>
      </w:tr>
      <w:tr w14:paraId="4BCD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noWrap w:val="0"/>
            <w:vAlign w:val="center"/>
          </w:tcPr>
          <w:p w14:paraId="70B8BD31">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高会江</w:t>
            </w:r>
          </w:p>
        </w:tc>
        <w:tc>
          <w:tcPr>
            <w:tcW w:w="837" w:type="pct"/>
            <w:noWrap w:val="0"/>
            <w:vAlign w:val="center"/>
          </w:tcPr>
          <w:p w14:paraId="13C1AD48">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研究员</w:t>
            </w:r>
          </w:p>
        </w:tc>
        <w:tc>
          <w:tcPr>
            <w:tcW w:w="771" w:type="pct"/>
            <w:noWrap w:val="0"/>
            <w:vAlign w:val="center"/>
          </w:tcPr>
          <w:p w14:paraId="2E2AB89A">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动物遗传育种</w:t>
            </w:r>
          </w:p>
        </w:tc>
        <w:tc>
          <w:tcPr>
            <w:tcW w:w="1019" w:type="pct"/>
            <w:noWrap w:val="0"/>
            <w:vAlign w:val="center"/>
          </w:tcPr>
          <w:p w14:paraId="583379E4">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lang w:val="en-US" w:eastAsia="zh-CN"/>
              </w:rPr>
              <w:t>中国农业科学院北京畜牧兽医研究所</w:t>
            </w:r>
          </w:p>
        </w:tc>
        <w:tc>
          <w:tcPr>
            <w:tcW w:w="1839" w:type="pct"/>
            <w:noWrap w:val="0"/>
            <w:vAlign w:val="center"/>
          </w:tcPr>
          <w:p w14:paraId="1A20DF81">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bidi="ar"/>
              </w:rPr>
              <w:t>参与标准编制工作，组织人员进行标准发布后的宣贯培训。</w:t>
            </w:r>
          </w:p>
        </w:tc>
      </w:tr>
      <w:tr w14:paraId="27E9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noWrap w:val="0"/>
            <w:vAlign w:val="center"/>
          </w:tcPr>
          <w:p w14:paraId="7A724110">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cs="仿宋_GB2312"/>
                <w:sz w:val="24"/>
              </w:rPr>
              <w:t>张路培</w:t>
            </w:r>
          </w:p>
        </w:tc>
        <w:tc>
          <w:tcPr>
            <w:tcW w:w="837" w:type="pct"/>
            <w:noWrap w:val="0"/>
            <w:vAlign w:val="center"/>
          </w:tcPr>
          <w:p w14:paraId="5EEA63D0">
            <w:pPr>
              <w:ind w:firstLine="0" w:firstLineChars="0"/>
              <w:jc w:val="center"/>
              <w:rPr>
                <w:rFonts w:hint="eastAsia" w:ascii="仿宋_GB2312" w:hAnsi="仿宋_GB2312" w:eastAsia="仿宋_GB2312" w:cs="仿宋_GB2312"/>
                <w:color w:val="000000"/>
                <w:sz w:val="24"/>
                <w:lang w:val="en-US" w:eastAsia="en-US" w:bidi="ar"/>
              </w:rPr>
            </w:pPr>
            <w:r>
              <w:rPr>
                <w:rFonts w:hint="eastAsia" w:ascii="仿宋_GB2312" w:hAnsi="仿宋_GB2312" w:eastAsia="仿宋_GB2312" w:cs="仿宋_GB2312"/>
                <w:color w:val="000000"/>
                <w:sz w:val="24"/>
                <w:lang w:val="en-US" w:eastAsia="zh-CN" w:bidi="ar"/>
              </w:rPr>
              <w:t>研究员</w:t>
            </w:r>
          </w:p>
        </w:tc>
        <w:tc>
          <w:tcPr>
            <w:tcW w:w="771" w:type="pct"/>
            <w:noWrap w:val="0"/>
            <w:vAlign w:val="center"/>
          </w:tcPr>
          <w:p w14:paraId="23D8BCD0">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动物遗传育种</w:t>
            </w:r>
          </w:p>
        </w:tc>
        <w:tc>
          <w:tcPr>
            <w:tcW w:w="1019" w:type="pct"/>
            <w:noWrap w:val="0"/>
            <w:vAlign w:val="center"/>
          </w:tcPr>
          <w:p w14:paraId="2EB5ECB9">
            <w:pPr>
              <w:ind w:firstLine="0" w:firstLineChars="0"/>
              <w:jc w:val="center"/>
              <w:rPr>
                <w:rFonts w:hint="eastAsia" w:ascii="仿宋_GB2312" w:hAnsi="仿宋_GB2312" w:eastAsia="仿宋_GB2312" w:cs="仿宋_GB2312"/>
                <w:color w:val="000000"/>
                <w:sz w:val="24"/>
                <w:lang w:eastAsia="en-US" w:bidi="ar"/>
              </w:rPr>
            </w:pPr>
            <w:r>
              <w:rPr>
                <w:rFonts w:hint="eastAsia" w:ascii="仿宋_GB2312" w:hAnsi="仿宋_GB2312" w:cs="仿宋_GB2312"/>
                <w:sz w:val="24"/>
                <w:lang w:val="en-US" w:eastAsia="zh-CN"/>
              </w:rPr>
              <w:t>中国农业科学院北京畜牧兽医研究所</w:t>
            </w:r>
          </w:p>
        </w:tc>
        <w:tc>
          <w:tcPr>
            <w:tcW w:w="1839" w:type="pct"/>
            <w:noWrap w:val="0"/>
            <w:vAlign w:val="center"/>
          </w:tcPr>
          <w:p w14:paraId="484ACFF5">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w:t>
            </w:r>
          </w:p>
        </w:tc>
      </w:tr>
      <w:tr w14:paraId="0314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noWrap w:val="0"/>
            <w:vAlign w:val="center"/>
          </w:tcPr>
          <w:p w14:paraId="63055F88">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cs="仿宋_GB2312"/>
                <w:sz w:val="24"/>
              </w:rPr>
              <w:t>黄顺涛</w:t>
            </w:r>
          </w:p>
        </w:tc>
        <w:tc>
          <w:tcPr>
            <w:tcW w:w="837" w:type="pct"/>
            <w:noWrap w:val="0"/>
            <w:vAlign w:val="center"/>
          </w:tcPr>
          <w:p w14:paraId="5C1E3B54">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w:t>
            </w:r>
          </w:p>
        </w:tc>
        <w:tc>
          <w:tcPr>
            <w:tcW w:w="771" w:type="pct"/>
            <w:noWrap w:val="0"/>
            <w:vAlign w:val="center"/>
          </w:tcPr>
          <w:p w14:paraId="6F943041">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val="en-US" w:eastAsia="zh-CN" w:bidi="ar"/>
              </w:rPr>
              <w:t>动物遗传育种</w:t>
            </w:r>
          </w:p>
        </w:tc>
        <w:tc>
          <w:tcPr>
            <w:tcW w:w="1019" w:type="pct"/>
            <w:noWrap w:val="0"/>
            <w:vAlign w:val="center"/>
          </w:tcPr>
          <w:p w14:paraId="60FEDB52">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17E95559">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参与标准文本及编制说明的编写；对标准实施情况进行总结分析，不断对团体标准提出修正意见</w:t>
            </w:r>
          </w:p>
        </w:tc>
      </w:tr>
      <w:tr w14:paraId="63A42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noWrap w:val="0"/>
            <w:vAlign w:val="center"/>
          </w:tcPr>
          <w:p w14:paraId="29D48561">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cs="仿宋_GB2312"/>
                <w:sz w:val="24"/>
              </w:rPr>
              <w:t>黄健</w:t>
            </w:r>
          </w:p>
        </w:tc>
        <w:tc>
          <w:tcPr>
            <w:tcW w:w="837" w:type="pct"/>
            <w:noWrap w:val="0"/>
            <w:vAlign w:val="center"/>
          </w:tcPr>
          <w:p w14:paraId="26C6696F">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高级畜牧师</w:t>
            </w:r>
          </w:p>
        </w:tc>
        <w:tc>
          <w:tcPr>
            <w:tcW w:w="771" w:type="pct"/>
            <w:noWrap w:val="0"/>
            <w:vAlign w:val="center"/>
          </w:tcPr>
          <w:p w14:paraId="4FC10982">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21402882">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15F3EDE7">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1C66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noWrap w:val="0"/>
            <w:vAlign w:val="center"/>
          </w:tcPr>
          <w:p w14:paraId="29C7B464">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cs="仿宋_GB2312"/>
                <w:sz w:val="24"/>
              </w:rPr>
              <w:t>谭正准</w:t>
            </w:r>
          </w:p>
        </w:tc>
        <w:tc>
          <w:tcPr>
            <w:tcW w:w="837" w:type="pct"/>
            <w:noWrap w:val="0"/>
            <w:vAlign w:val="center"/>
          </w:tcPr>
          <w:p w14:paraId="766CFFA6">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1813ED84">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4E99AFA9">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04290040">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1605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3" w:type="pct"/>
            <w:noWrap w:val="0"/>
            <w:vAlign w:val="center"/>
          </w:tcPr>
          <w:p w14:paraId="54C3107A">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cs="仿宋_GB2312"/>
                <w:sz w:val="24"/>
              </w:rPr>
              <w:t>李厅厅</w:t>
            </w:r>
          </w:p>
        </w:tc>
        <w:tc>
          <w:tcPr>
            <w:tcW w:w="837" w:type="pct"/>
            <w:noWrap w:val="0"/>
            <w:vAlign w:val="center"/>
          </w:tcPr>
          <w:p w14:paraId="5F10666B">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1CEDF759">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3AE6FF0F">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5359BFDA">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5B5D1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61ADB280">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李治培</w:t>
            </w:r>
          </w:p>
        </w:tc>
        <w:tc>
          <w:tcPr>
            <w:tcW w:w="837" w:type="pct"/>
            <w:noWrap w:val="0"/>
            <w:vAlign w:val="center"/>
          </w:tcPr>
          <w:p w14:paraId="6E288D38">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高级畜牧师</w:t>
            </w:r>
          </w:p>
        </w:tc>
        <w:tc>
          <w:tcPr>
            <w:tcW w:w="771" w:type="pct"/>
            <w:noWrap w:val="0"/>
            <w:vAlign w:val="center"/>
          </w:tcPr>
          <w:p w14:paraId="7D044024">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475BC63C">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75C0EA3F">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6BF2C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4738EED9">
            <w:pPr>
              <w:ind w:firstLine="0" w:firstLineChars="0"/>
              <w:jc w:val="center"/>
              <w:rPr>
                <w:rFonts w:hint="eastAsia" w:ascii="仿宋_GB2312" w:hAnsi="仿宋_GB2312" w:cs="仿宋_GB2312"/>
                <w:sz w:val="24"/>
              </w:rPr>
            </w:pPr>
            <w:r>
              <w:rPr>
                <w:rFonts w:hint="eastAsia" w:ascii="仿宋_GB2312" w:hAnsi="仿宋_GB2312" w:cs="仿宋_GB2312"/>
                <w:sz w:val="24"/>
              </w:rPr>
              <w:t>钟华配</w:t>
            </w:r>
          </w:p>
        </w:tc>
        <w:tc>
          <w:tcPr>
            <w:tcW w:w="837" w:type="pct"/>
            <w:noWrap w:val="0"/>
            <w:vAlign w:val="center"/>
          </w:tcPr>
          <w:p w14:paraId="4446FA2A">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高级畜牧师</w:t>
            </w:r>
          </w:p>
        </w:tc>
        <w:tc>
          <w:tcPr>
            <w:tcW w:w="771" w:type="pct"/>
            <w:noWrap w:val="0"/>
            <w:vAlign w:val="center"/>
          </w:tcPr>
          <w:p w14:paraId="3E7227FE">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5D96F4F3">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178540D1">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78206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7AEE7510">
            <w:pPr>
              <w:ind w:firstLine="0" w:firstLineChars="0"/>
              <w:jc w:val="center"/>
              <w:rPr>
                <w:rFonts w:hint="eastAsia" w:ascii="仿宋_GB2312" w:hAnsi="仿宋_GB2312" w:cs="仿宋_GB2312"/>
                <w:sz w:val="24"/>
              </w:rPr>
            </w:pPr>
            <w:r>
              <w:rPr>
                <w:rFonts w:hint="eastAsia" w:ascii="仿宋_GB2312" w:hAnsi="仿宋_GB2312" w:cs="仿宋_GB2312"/>
                <w:sz w:val="24"/>
              </w:rPr>
              <w:t>黄露婷</w:t>
            </w:r>
          </w:p>
        </w:tc>
        <w:tc>
          <w:tcPr>
            <w:tcW w:w="837" w:type="pct"/>
            <w:noWrap w:val="0"/>
            <w:vAlign w:val="center"/>
          </w:tcPr>
          <w:p w14:paraId="30047A35">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w:t>
            </w:r>
          </w:p>
        </w:tc>
        <w:tc>
          <w:tcPr>
            <w:tcW w:w="771" w:type="pct"/>
            <w:noWrap w:val="0"/>
            <w:vAlign w:val="center"/>
          </w:tcPr>
          <w:p w14:paraId="7E45AAF6">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123C6A4A">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2A5395C9">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2CFD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46230C42">
            <w:pPr>
              <w:ind w:firstLine="0" w:firstLineChars="0"/>
              <w:jc w:val="center"/>
              <w:rPr>
                <w:rFonts w:hint="eastAsia" w:ascii="仿宋_GB2312" w:hAnsi="仿宋_GB2312" w:cs="仿宋_GB2312"/>
                <w:sz w:val="24"/>
              </w:rPr>
            </w:pPr>
            <w:r>
              <w:rPr>
                <w:rFonts w:hint="eastAsia" w:ascii="仿宋_GB2312" w:hAnsi="仿宋_GB2312" w:cs="仿宋_GB2312"/>
                <w:sz w:val="24"/>
              </w:rPr>
              <w:t>梁卉</w:t>
            </w:r>
          </w:p>
        </w:tc>
        <w:tc>
          <w:tcPr>
            <w:tcW w:w="837" w:type="pct"/>
            <w:noWrap w:val="0"/>
            <w:vAlign w:val="center"/>
          </w:tcPr>
          <w:p w14:paraId="601C80B9">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w:t>
            </w:r>
          </w:p>
        </w:tc>
        <w:tc>
          <w:tcPr>
            <w:tcW w:w="771" w:type="pct"/>
            <w:noWrap w:val="0"/>
            <w:vAlign w:val="center"/>
          </w:tcPr>
          <w:p w14:paraId="421E04B3">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3A9EAAFC">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615437D7">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431B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091BEEFB">
            <w:pPr>
              <w:ind w:firstLine="0" w:firstLineChars="0"/>
              <w:jc w:val="center"/>
              <w:rPr>
                <w:rFonts w:hint="eastAsia" w:ascii="仿宋_GB2312" w:hAnsi="仿宋_GB2312" w:cs="仿宋_GB2312"/>
                <w:sz w:val="24"/>
              </w:rPr>
            </w:pPr>
            <w:r>
              <w:rPr>
                <w:rFonts w:hint="eastAsia" w:ascii="仿宋_GB2312" w:hAnsi="仿宋_GB2312" w:cs="仿宋_GB2312"/>
                <w:sz w:val="24"/>
              </w:rPr>
              <w:t>卢瑛</w:t>
            </w:r>
          </w:p>
        </w:tc>
        <w:tc>
          <w:tcPr>
            <w:tcW w:w="837" w:type="pct"/>
            <w:noWrap w:val="0"/>
            <w:vAlign w:val="center"/>
          </w:tcPr>
          <w:p w14:paraId="0F415EAF">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4692E45A">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34D6FD4F">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5E31F252">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1C57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6ABFFB8B">
            <w:pPr>
              <w:ind w:firstLine="0" w:firstLineChars="0"/>
              <w:jc w:val="center"/>
              <w:rPr>
                <w:rFonts w:hint="eastAsia" w:ascii="仿宋_GB2312" w:hAnsi="仿宋_GB2312" w:cs="仿宋_GB2312"/>
                <w:sz w:val="24"/>
              </w:rPr>
            </w:pPr>
            <w:r>
              <w:rPr>
                <w:rFonts w:hint="eastAsia" w:ascii="仿宋_GB2312" w:hAnsi="仿宋_GB2312" w:cs="仿宋_GB2312"/>
                <w:sz w:val="24"/>
              </w:rPr>
              <w:t>黄荣春</w:t>
            </w:r>
          </w:p>
        </w:tc>
        <w:tc>
          <w:tcPr>
            <w:tcW w:w="837" w:type="pct"/>
            <w:noWrap w:val="0"/>
            <w:vAlign w:val="center"/>
          </w:tcPr>
          <w:p w14:paraId="688754B6">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高级畜牧师</w:t>
            </w:r>
          </w:p>
        </w:tc>
        <w:tc>
          <w:tcPr>
            <w:tcW w:w="771" w:type="pct"/>
            <w:noWrap w:val="0"/>
            <w:vAlign w:val="center"/>
          </w:tcPr>
          <w:p w14:paraId="2787E2FC">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621E3605">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116EC1C9">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39AE9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593C4AC4">
            <w:pPr>
              <w:ind w:firstLine="0" w:firstLineChars="0"/>
              <w:jc w:val="center"/>
              <w:rPr>
                <w:rFonts w:hint="eastAsia" w:ascii="仿宋_GB2312" w:hAnsi="仿宋_GB2312" w:cs="仿宋_GB2312"/>
                <w:sz w:val="24"/>
              </w:rPr>
            </w:pPr>
            <w:r>
              <w:rPr>
                <w:rFonts w:hint="eastAsia" w:ascii="仿宋_GB2312" w:hAnsi="仿宋_GB2312" w:cs="仿宋_GB2312"/>
                <w:sz w:val="24"/>
              </w:rPr>
              <w:t>潘伟军</w:t>
            </w:r>
          </w:p>
        </w:tc>
        <w:tc>
          <w:tcPr>
            <w:tcW w:w="837" w:type="pct"/>
            <w:noWrap w:val="0"/>
            <w:vAlign w:val="center"/>
          </w:tcPr>
          <w:p w14:paraId="409CFE40">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w:t>
            </w:r>
          </w:p>
        </w:tc>
        <w:tc>
          <w:tcPr>
            <w:tcW w:w="771" w:type="pct"/>
            <w:noWrap w:val="0"/>
            <w:vAlign w:val="center"/>
          </w:tcPr>
          <w:p w14:paraId="4C6AF7F6">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7DB59009">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5E30131E">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3C54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51A0E2DD">
            <w:pPr>
              <w:ind w:firstLine="0" w:firstLineChars="0"/>
              <w:jc w:val="center"/>
              <w:rPr>
                <w:rFonts w:hint="eastAsia" w:ascii="仿宋_GB2312" w:hAnsi="仿宋_GB2312" w:cs="仿宋_GB2312"/>
                <w:sz w:val="24"/>
              </w:rPr>
            </w:pPr>
            <w:r>
              <w:rPr>
                <w:rFonts w:hint="eastAsia" w:ascii="仿宋_GB2312" w:hAnsi="仿宋_GB2312" w:cs="仿宋_GB2312"/>
                <w:sz w:val="24"/>
              </w:rPr>
              <w:t>韦科龙</w:t>
            </w:r>
          </w:p>
        </w:tc>
        <w:tc>
          <w:tcPr>
            <w:tcW w:w="837" w:type="pct"/>
            <w:noWrap w:val="0"/>
            <w:vAlign w:val="center"/>
          </w:tcPr>
          <w:p w14:paraId="05BD4920">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高级畜牧师</w:t>
            </w:r>
          </w:p>
        </w:tc>
        <w:tc>
          <w:tcPr>
            <w:tcW w:w="771" w:type="pct"/>
            <w:noWrap w:val="0"/>
            <w:vAlign w:val="center"/>
          </w:tcPr>
          <w:p w14:paraId="59511242">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275D98E6">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6820CF7C">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1A46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336530A7">
            <w:pPr>
              <w:ind w:firstLine="0" w:firstLineChars="0"/>
              <w:jc w:val="center"/>
              <w:rPr>
                <w:rFonts w:hint="eastAsia" w:ascii="仿宋_GB2312" w:hAnsi="仿宋_GB2312" w:cs="仿宋_GB2312"/>
                <w:sz w:val="24"/>
              </w:rPr>
            </w:pPr>
            <w:r>
              <w:rPr>
                <w:rFonts w:hint="eastAsia" w:ascii="仿宋_GB2312" w:hAnsi="仿宋_GB2312" w:cs="仿宋_GB2312"/>
                <w:sz w:val="24"/>
              </w:rPr>
              <w:t>谢娟秀</w:t>
            </w:r>
          </w:p>
        </w:tc>
        <w:tc>
          <w:tcPr>
            <w:tcW w:w="837" w:type="pct"/>
            <w:noWrap w:val="0"/>
            <w:vAlign w:val="center"/>
          </w:tcPr>
          <w:p w14:paraId="7B762617">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w:t>
            </w:r>
          </w:p>
        </w:tc>
        <w:tc>
          <w:tcPr>
            <w:tcW w:w="771" w:type="pct"/>
            <w:noWrap w:val="0"/>
            <w:vAlign w:val="center"/>
          </w:tcPr>
          <w:p w14:paraId="570FDAB2">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039FBAD8">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4502FA72">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4133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60348CE1">
            <w:pPr>
              <w:ind w:firstLine="0" w:firstLineChars="0"/>
              <w:jc w:val="center"/>
              <w:rPr>
                <w:rFonts w:hint="eastAsia" w:ascii="仿宋_GB2312" w:hAnsi="仿宋_GB2312" w:cs="仿宋_GB2312"/>
                <w:sz w:val="24"/>
              </w:rPr>
            </w:pPr>
            <w:r>
              <w:rPr>
                <w:rFonts w:hint="eastAsia" w:ascii="仿宋_GB2312" w:hAnsi="仿宋_GB2312" w:cs="仿宋_GB2312"/>
                <w:sz w:val="24"/>
              </w:rPr>
              <w:t>黄晨茜</w:t>
            </w:r>
          </w:p>
        </w:tc>
        <w:tc>
          <w:tcPr>
            <w:tcW w:w="837" w:type="pct"/>
            <w:noWrap w:val="0"/>
            <w:vAlign w:val="center"/>
          </w:tcPr>
          <w:p w14:paraId="5DF89022">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中级经济师</w:t>
            </w:r>
          </w:p>
        </w:tc>
        <w:tc>
          <w:tcPr>
            <w:tcW w:w="771" w:type="pct"/>
            <w:noWrap w:val="0"/>
            <w:vAlign w:val="center"/>
          </w:tcPr>
          <w:p w14:paraId="793AB11B">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7F66F85E">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4A6BAC35">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1248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539D897F">
            <w:pPr>
              <w:ind w:firstLine="0" w:firstLineChars="0"/>
              <w:jc w:val="center"/>
              <w:rPr>
                <w:rFonts w:hint="eastAsia" w:ascii="仿宋_GB2312" w:hAnsi="仿宋_GB2312" w:cs="仿宋_GB2312"/>
                <w:sz w:val="24"/>
              </w:rPr>
            </w:pPr>
            <w:r>
              <w:rPr>
                <w:rFonts w:hint="eastAsia" w:ascii="仿宋_GB2312" w:hAnsi="仿宋_GB2312" w:cs="仿宋_GB2312"/>
                <w:sz w:val="24"/>
              </w:rPr>
              <w:t>谭志华</w:t>
            </w:r>
          </w:p>
        </w:tc>
        <w:tc>
          <w:tcPr>
            <w:tcW w:w="837" w:type="pct"/>
            <w:noWrap w:val="0"/>
            <w:vAlign w:val="center"/>
          </w:tcPr>
          <w:p w14:paraId="2B1918AE">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18E007F7">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08A452D6">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6E309809">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417BC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50D2BF26">
            <w:pPr>
              <w:ind w:firstLine="0" w:firstLineChars="0"/>
              <w:jc w:val="center"/>
              <w:rPr>
                <w:rFonts w:hint="eastAsia" w:ascii="仿宋_GB2312" w:hAnsi="仿宋_GB2312" w:cs="仿宋_GB2312"/>
                <w:sz w:val="24"/>
              </w:rPr>
            </w:pPr>
            <w:r>
              <w:rPr>
                <w:rFonts w:hint="eastAsia" w:ascii="仿宋_GB2312" w:hAnsi="仿宋_GB2312" w:cs="仿宋_GB2312"/>
                <w:sz w:val="24"/>
              </w:rPr>
              <w:t>罗华</w:t>
            </w:r>
          </w:p>
        </w:tc>
        <w:tc>
          <w:tcPr>
            <w:tcW w:w="837" w:type="pct"/>
            <w:noWrap w:val="0"/>
            <w:vAlign w:val="center"/>
          </w:tcPr>
          <w:p w14:paraId="6D5EF92F">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6EEB23F4">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w:t>
            </w:r>
          </w:p>
        </w:tc>
        <w:tc>
          <w:tcPr>
            <w:tcW w:w="1019" w:type="pct"/>
            <w:noWrap w:val="0"/>
            <w:vAlign w:val="center"/>
          </w:tcPr>
          <w:p w14:paraId="11D34254">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5FAFA98B">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757B0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25D148C2">
            <w:pPr>
              <w:ind w:firstLine="0" w:firstLineChars="0"/>
              <w:jc w:val="center"/>
              <w:rPr>
                <w:rFonts w:hint="eastAsia" w:ascii="仿宋_GB2312" w:hAnsi="仿宋_GB2312" w:cs="仿宋_GB2312"/>
                <w:sz w:val="24"/>
              </w:rPr>
            </w:pPr>
            <w:r>
              <w:rPr>
                <w:rFonts w:hint="eastAsia" w:ascii="仿宋_GB2312" w:hAnsi="仿宋_GB2312" w:cs="仿宋_GB2312"/>
                <w:sz w:val="24"/>
              </w:rPr>
              <w:t>杨凌潇</w:t>
            </w:r>
          </w:p>
        </w:tc>
        <w:tc>
          <w:tcPr>
            <w:tcW w:w="837" w:type="pct"/>
            <w:noWrap w:val="0"/>
            <w:vAlign w:val="center"/>
          </w:tcPr>
          <w:p w14:paraId="69BE0E1D">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w:t>
            </w:r>
          </w:p>
        </w:tc>
        <w:tc>
          <w:tcPr>
            <w:tcW w:w="771" w:type="pct"/>
            <w:noWrap w:val="0"/>
            <w:vAlign w:val="center"/>
          </w:tcPr>
          <w:p w14:paraId="0F4E12E2">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养殖技术推广</w:t>
            </w:r>
          </w:p>
        </w:tc>
        <w:tc>
          <w:tcPr>
            <w:tcW w:w="1019" w:type="pct"/>
            <w:noWrap w:val="0"/>
            <w:vAlign w:val="center"/>
          </w:tcPr>
          <w:p w14:paraId="61B8AA98">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6FA5AE7E">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02A5B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7CE1286B">
            <w:pPr>
              <w:ind w:firstLine="0" w:firstLineChars="0"/>
              <w:jc w:val="center"/>
              <w:rPr>
                <w:rFonts w:hint="eastAsia" w:ascii="仿宋_GB2312" w:hAnsi="仿宋_GB2312" w:cs="仿宋_GB2312"/>
                <w:sz w:val="24"/>
              </w:rPr>
            </w:pPr>
            <w:r>
              <w:rPr>
                <w:rFonts w:hint="eastAsia" w:ascii="仿宋_GB2312" w:hAnsi="仿宋_GB2312" w:cs="仿宋_GB2312"/>
                <w:sz w:val="24"/>
              </w:rPr>
              <w:t>张起强</w:t>
            </w:r>
          </w:p>
        </w:tc>
        <w:tc>
          <w:tcPr>
            <w:tcW w:w="837" w:type="pct"/>
            <w:noWrap w:val="0"/>
            <w:vAlign w:val="center"/>
          </w:tcPr>
          <w:p w14:paraId="7B80B2DF">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38951033">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水牛繁殖育种</w:t>
            </w:r>
          </w:p>
        </w:tc>
        <w:tc>
          <w:tcPr>
            <w:tcW w:w="1019" w:type="pct"/>
            <w:noWrap w:val="0"/>
            <w:vAlign w:val="center"/>
          </w:tcPr>
          <w:p w14:paraId="7B1F8FFB">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广西壮族自治区水牛研究所</w:t>
            </w:r>
          </w:p>
        </w:tc>
        <w:tc>
          <w:tcPr>
            <w:tcW w:w="1839" w:type="pct"/>
            <w:noWrap w:val="0"/>
            <w:vAlign w:val="center"/>
          </w:tcPr>
          <w:p w14:paraId="34263C47">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06F2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32FF7E31">
            <w:pPr>
              <w:ind w:firstLine="0" w:firstLineChars="0"/>
              <w:jc w:val="center"/>
              <w:rPr>
                <w:rFonts w:hint="eastAsia" w:ascii="仿宋_GB2312" w:hAnsi="仿宋_GB2312" w:cs="仿宋_GB2312"/>
                <w:sz w:val="24"/>
              </w:rPr>
            </w:pPr>
            <w:r>
              <w:rPr>
                <w:rFonts w:hint="eastAsia" w:ascii="仿宋_GB2312" w:hAnsi="仿宋_GB2312" w:cs="仿宋_GB2312"/>
                <w:sz w:val="24"/>
              </w:rPr>
              <w:t>李敏玲</w:t>
            </w:r>
          </w:p>
        </w:tc>
        <w:tc>
          <w:tcPr>
            <w:tcW w:w="837" w:type="pct"/>
            <w:noWrap w:val="0"/>
            <w:vAlign w:val="center"/>
          </w:tcPr>
          <w:p w14:paraId="62F767AC">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5527E5F0">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养殖技术推广</w:t>
            </w:r>
          </w:p>
        </w:tc>
        <w:tc>
          <w:tcPr>
            <w:tcW w:w="1019" w:type="pct"/>
            <w:noWrap w:val="0"/>
            <w:vAlign w:val="center"/>
          </w:tcPr>
          <w:p w14:paraId="2519166C">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广西壮族自治区畜禽品种改良站</w:t>
            </w:r>
          </w:p>
        </w:tc>
        <w:tc>
          <w:tcPr>
            <w:tcW w:w="1839" w:type="pct"/>
            <w:noWrap w:val="0"/>
            <w:vAlign w:val="center"/>
          </w:tcPr>
          <w:p w14:paraId="4FD0B10A">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4494D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62C2AA4C">
            <w:pPr>
              <w:ind w:firstLine="0" w:firstLineChars="0"/>
              <w:jc w:val="center"/>
              <w:rPr>
                <w:rFonts w:hint="eastAsia" w:ascii="仿宋_GB2312" w:hAnsi="仿宋_GB2312" w:cs="仿宋_GB2312"/>
                <w:sz w:val="24"/>
              </w:rPr>
            </w:pPr>
            <w:r>
              <w:rPr>
                <w:rFonts w:hint="eastAsia" w:ascii="仿宋_GB2312" w:hAnsi="仿宋_GB2312" w:cs="仿宋_GB2312"/>
                <w:sz w:val="24"/>
              </w:rPr>
              <w:t>卢维</w:t>
            </w:r>
          </w:p>
        </w:tc>
        <w:tc>
          <w:tcPr>
            <w:tcW w:w="837" w:type="pct"/>
            <w:noWrap w:val="0"/>
            <w:vAlign w:val="center"/>
          </w:tcPr>
          <w:p w14:paraId="7D32D1F3">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科长/高级畜牧师</w:t>
            </w:r>
          </w:p>
        </w:tc>
        <w:tc>
          <w:tcPr>
            <w:tcW w:w="771" w:type="pct"/>
            <w:noWrap w:val="0"/>
            <w:vAlign w:val="center"/>
          </w:tcPr>
          <w:p w14:paraId="62D6D774">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养殖技术推广</w:t>
            </w:r>
          </w:p>
        </w:tc>
        <w:tc>
          <w:tcPr>
            <w:tcW w:w="1019" w:type="pct"/>
            <w:noWrap w:val="0"/>
            <w:vAlign w:val="center"/>
          </w:tcPr>
          <w:p w14:paraId="32A30B6C">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广西壮族自治区畜牧站</w:t>
            </w:r>
          </w:p>
        </w:tc>
        <w:tc>
          <w:tcPr>
            <w:tcW w:w="1839" w:type="pct"/>
            <w:noWrap w:val="0"/>
            <w:vAlign w:val="center"/>
          </w:tcPr>
          <w:p w14:paraId="542E2F9D">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32018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6BA0349A">
            <w:pPr>
              <w:ind w:firstLine="0" w:firstLineChars="0"/>
              <w:jc w:val="center"/>
              <w:rPr>
                <w:rFonts w:hint="eastAsia" w:ascii="仿宋_GB2312" w:hAnsi="仿宋_GB2312" w:cs="仿宋_GB2312"/>
                <w:sz w:val="24"/>
              </w:rPr>
            </w:pPr>
            <w:r>
              <w:rPr>
                <w:rFonts w:hint="eastAsia" w:ascii="仿宋_GB2312" w:hAnsi="仿宋_GB2312" w:cs="仿宋_GB2312"/>
                <w:sz w:val="24"/>
              </w:rPr>
              <w:t>蒋世强</w:t>
            </w:r>
          </w:p>
        </w:tc>
        <w:tc>
          <w:tcPr>
            <w:tcW w:w="837" w:type="pct"/>
            <w:noWrap w:val="0"/>
            <w:vAlign w:val="center"/>
          </w:tcPr>
          <w:p w14:paraId="479D998E">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024936FD">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动物遗传育种</w:t>
            </w:r>
          </w:p>
        </w:tc>
        <w:tc>
          <w:tcPr>
            <w:tcW w:w="1019" w:type="pct"/>
            <w:noWrap w:val="0"/>
            <w:vAlign w:val="center"/>
          </w:tcPr>
          <w:p w14:paraId="544926D3">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广西壮族自治区畜禽品种改良站</w:t>
            </w:r>
          </w:p>
        </w:tc>
        <w:tc>
          <w:tcPr>
            <w:tcW w:w="1839" w:type="pct"/>
            <w:noWrap w:val="0"/>
            <w:vAlign w:val="center"/>
          </w:tcPr>
          <w:p w14:paraId="29F5B954">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69813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69E6E9C9">
            <w:pPr>
              <w:ind w:firstLine="0" w:firstLineChars="0"/>
              <w:jc w:val="center"/>
              <w:rPr>
                <w:rFonts w:hint="eastAsia" w:ascii="仿宋_GB2312" w:hAnsi="仿宋_GB2312" w:cs="仿宋_GB2312"/>
                <w:sz w:val="24"/>
              </w:rPr>
            </w:pPr>
            <w:r>
              <w:rPr>
                <w:rFonts w:hint="eastAsia" w:ascii="仿宋_GB2312" w:hAnsi="仿宋_GB2312" w:cs="仿宋_GB2312"/>
                <w:sz w:val="24"/>
              </w:rPr>
              <w:t>邹乐勤</w:t>
            </w:r>
          </w:p>
        </w:tc>
        <w:tc>
          <w:tcPr>
            <w:tcW w:w="837" w:type="pct"/>
            <w:noWrap w:val="0"/>
            <w:vAlign w:val="center"/>
          </w:tcPr>
          <w:p w14:paraId="078448A0">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192901F9">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动物遗传育种</w:t>
            </w:r>
          </w:p>
        </w:tc>
        <w:tc>
          <w:tcPr>
            <w:tcW w:w="1019" w:type="pct"/>
            <w:noWrap w:val="0"/>
            <w:vAlign w:val="center"/>
          </w:tcPr>
          <w:p w14:paraId="6BA507FC">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广西壮族自治区畜禽品种改良站</w:t>
            </w:r>
          </w:p>
        </w:tc>
        <w:tc>
          <w:tcPr>
            <w:tcW w:w="1839" w:type="pct"/>
            <w:noWrap w:val="0"/>
            <w:vAlign w:val="center"/>
          </w:tcPr>
          <w:p w14:paraId="15D67604">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058F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519DF38E">
            <w:pPr>
              <w:ind w:firstLine="0" w:firstLineChars="0"/>
              <w:jc w:val="center"/>
              <w:rPr>
                <w:rFonts w:hint="eastAsia" w:ascii="仿宋_GB2312" w:hAnsi="仿宋_GB2312" w:eastAsia="仿宋_GB2312" w:cs="仿宋_GB2312"/>
                <w:sz w:val="24"/>
                <w:lang w:val="en-US" w:eastAsia="zh-CN"/>
              </w:rPr>
            </w:pPr>
            <w:r>
              <w:rPr>
                <w:rFonts w:hint="eastAsia" w:ascii="仿宋_GB2312" w:hAnsi="仿宋_GB2312" w:cs="仿宋_GB2312"/>
                <w:sz w:val="24"/>
                <w:lang w:val="en-US" w:eastAsia="zh-CN"/>
              </w:rPr>
              <w:t>贾银海</w:t>
            </w:r>
          </w:p>
        </w:tc>
        <w:tc>
          <w:tcPr>
            <w:tcW w:w="837" w:type="pct"/>
            <w:noWrap w:val="0"/>
            <w:vAlign w:val="center"/>
          </w:tcPr>
          <w:p w14:paraId="63E26964">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高级畜牧师</w:t>
            </w:r>
          </w:p>
        </w:tc>
        <w:tc>
          <w:tcPr>
            <w:tcW w:w="771" w:type="pct"/>
            <w:noWrap w:val="0"/>
            <w:vAlign w:val="center"/>
          </w:tcPr>
          <w:p w14:paraId="3AF35E2A">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动物遗传育种</w:t>
            </w:r>
          </w:p>
        </w:tc>
        <w:tc>
          <w:tcPr>
            <w:tcW w:w="1019" w:type="pct"/>
            <w:noWrap w:val="0"/>
            <w:vAlign w:val="center"/>
          </w:tcPr>
          <w:p w14:paraId="17E39A4C">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lang w:val="en-US" w:eastAsia="zh-CN"/>
              </w:rPr>
              <w:t>广西农业职业技术大学</w:t>
            </w:r>
          </w:p>
        </w:tc>
        <w:tc>
          <w:tcPr>
            <w:tcW w:w="1839" w:type="pct"/>
            <w:noWrap w:val="0"/>
            <w:vAlign w:val="center"/>
          </w:tcPr>
          <w:p w14:paraId="4CF9B2F1">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w:t>
            </w:r>
          </w:p>
        </w:tc>
      </w:tr>
      <w:tr w14:paraId="5715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0290C67F">
            <w:pPr>
              <w:ind w:firstLine="0" w:firstLineChars="0"/>
              <w:jc w:val="center"/>
              <w:rPr>
                <w:rFonts w:hint="eastAsia" w:ascii="仿宋_GB2312" w:hAnsi="仿宋_GB2312" w:eastAsia="仿宋_GB2312" w:cs="仿宋_GB2312"/>
                <w:sz w:val="24"/>
                <w:lang w:val="en-US" w:eastAsia="zh-CN"/>
              </w:rPr>
            </w:pPr>
            <w:r>
              <w:rPr>
                <w:rFonts w:hint="eastAsia" w:ascii="仿宋_GB2312" w:hAnsi="仿宋_GB2312" w:cs="仿宋_GB2312"/>
                <w:sz w:val="24"/>
                <w:lang w:val="en-US" w:eastAsia="zh-CN"/>
              </w:rPr>
              <w:t>徐文文</w:t>
            </w:r>
          </w:p>
        </w:tc>
        <w:tc>
          <w:tcPr>
            <w:tcW w:w="837" w:type="pct"/>
            <w:noWrap w:val="0"/>
            <w:vAlign w:val="center"/>
          </w:tcPr>
          <w:p w14:paraId="5C8A0D92">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2E3C238F">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动物遗传育种</w:t>
            </w:r>
          </w:p>
        </w:tc>
        <w:tc>
          <w:tcPr>
            <w:tcW w:w="1019" w:type="pct"/>
            <w:noWrap w:val="0"/>
            <w:vAlign w:val="center"/>
          </w:tcPr>
          <w:p w14:paraId="63C8C081">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lang w:val="en-US" w:eastAsia="zh-CN"/>
              </w:rPr>
              <w:t>广西农业职业技术大学</w:t>
            </w:r>
          </w:p>
        </w:tc>
        <w:tc>
          <w:tcPr>
            <w:tcW w:w="1839" w:type="pct"/>
            <w:noWrap w:val="0"/>
            <w:vAlign w:val="center"/>
          </w:tcPr>
          <w:p w14:paraId="2E6DF551">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w:t>
            </w:r>
          </w:p>
        </w:tc>
      </w:tr>
      <w:tr w14:paraId="553FA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681D0C1C">
            <w:pPr>
              <w:ind w:firstLine="0" w:firstLineChars="0"/>
              <w:jc w:val="center"/>
              <w:rPr>
                <w:rFonts w:hint="eastAsia" w:ascii="仿宋_GB2312" w:hAnsi="仿宋_GB2312" w:cs="仿宋_GB2312"/>
                <w:sz w:val="24"/>
              </w:rPr>
            </w:pPr>
            <w:r>
              <w:rPr>
                <w:rFonts w:hint="eastAsia" w:ascii="仿宋_GB2312" w:hAnsi="仿宋_GB2312" w:cs="仿宋_GB2312"/>
                <w:sz w:val="24"/>
              </w:rPr>
              <w:t>梁廷文</w:t>
            </w:r>
          </w:p>
        </w:tc>
        <w:tc>
          <w:tcPr>
            <w:tcW w:w="837" w:type="pct"/>
            <w:noWrap w:val="0"/>
            <w:vAlign w:val="center"/>
          </w:tcPr>
          <w:p w14:paraId="1D0C0467">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正高级畜牧师</w:t>
            </w:r>
          </w:p>
        </w:tc>
        <w:tc>
          <w:tcPr>
            <w:tcW w:w="771" w:type="pct"/>
            <w:noWrap w:val="0"/>
            <w:vAlign w:val="center"/>
          </w:tcPr>
          <w:p w14:paraId="4EE87538">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养殖技术推广</w:t>
            </w:r>
          </w:p>
        </w:tc>
        <w:tc>
          <w:tcPr>
            <w:tcW w:w="1019" w:type="pct"/>
            <w:noWrap w:val="0"/>
            <w:vAlign w:val="center"/>
          </w:tcPr>
          <w:p w14:paraId="419528E8">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灵山县</w:t>
            </w:r>
            <w:r>
              <w:rPr>
                <w:rFonts w:hint="eastAsia" w:ascii="仿宋_GB2312" w:hAnsi="仿宋_GB2312" w:cs="仿宋_GB2312"/>
                <w:sz w:val="24"/>
                <w:lang w:val="en-US" w:eastAsia="zh-CN"/>
              </w:rPr>
              <w:t>畜牧技术服务站</w:t>
            </w:r>
          </w:p>
        </w:tc>
        <w:tc>
          <w:tcPr>
            <w:tcW w:w="1839" w:type="pct"/>
            <w:noWrap w:val="0"/>
            <w:vAlign w:val="center"/>
          </w:tcPr>
          <w:p w14:paraId="763DFA72">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1F1F0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5858D057">
            <w:pPr>
              <w:ind w:firstLine="0" w:firstLineChars="0"/>
              <w:jc w:val="center"/>
              <w:rPr>
                <w:rFonts w:hint="eastAsia" w:ascii="仿宋_GB2312" w:hAnsi="仿宋_GB2312" w:cs="仿宋_GB2312"/>
                <w:sz w:val="24"/>
              </w:rPr>
            </w:pPr>
            <w:r>
              <w:rPr>
                <w:rFonts w:hint="eastAsia" w:ascii="仿宋_GB2312" w:hAnsi="仿宋_GB2312" w:cs="仿宋_GB2312"/>
                <w:sz w:val="24"/>
              </w:rPr>
              <w:t>李均钦</w:t>
            </w:r>
          </w:p>
        </w:tc>
        <w:tc>
          <w:tcPr>
            <w:tcW w:w="837" w:type="pct"/>
            <w:noWrap w:val="0"/>
            <w:vAlign w:val="center"/>
          </w:tcPr>
          <w:p w14:paraId="340A8DE1">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1435C03C">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养殖技术推广</w:t>
            </w:r>
          </w:p>
        </w:tc>
        <w:tc>
          <w:tcPr>
            <w:tcW w:w="1019" w:type="pct"/>
            <w:noWrap w:val="0"/>
            <w:vAlign w:val="center"/>
          </w:tcPr>
          <w:p w14:paraId="636F471A">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灵山县</w:t>
            </w:r>
            <w:r>
              <w:rPr>
                <w:rFonts w:hint="eastAsia" w:ascii="仿宋_GB2312" w:hAnsi="仿宋_GB2312" w:cs="仿宋_GB2312"/>
                <w:sz w:val="24"/>
                <w:lang w:val="en-US" w:eastAsia="zh-CN"/>
              </w:rPr>
              <w:t>畜牧技术服务站</w:t>
            </w:r>
          </w:p>
        </w:tc>
        <w:tc>
          <w:tcPr>
            <w:tcW w:w="1839" w:type="pct"/>
            <w:noWrap w:val="0"/>
            <w:vAlign w:val="center"/>
          </w:tcPr>
          <w:p w14:paraId="79E1E057">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6150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44A4BF4A">
            <w:pPr>
              <w:ind w:firstLine="0" w:firstLineChars="0"/>
              <w:jc w:val="center"/>
              <w:rPr>
                <w:rFonts w:hint="eastAsia" w:ascii="仿宋_GB2312" w:hAnsi="仿宋_GB2312" w:cs="仿宋_GB2312"/>
                <w:sz w:val="24"/>
              </w:rPr>
            </w:pPr>
            <w:r>
              <w:rPr>
                <w:rFonts w:hint="eastAsia" w:ascii="仿宋_GB2312" w:hAnsi="仿宋_GB2312" w:cs="仿宋_GB2312"/>
                <w:sz w:val="24"/>
              </w:rPr>
              <w:t>劳创联</w:t>
            </w:r>
          </w:p>
        </w:tc>
        <w:tc>
          <w:tcPr>
            <w:tcW w:w="837" w:type="pct"/>
            <w:noWrap w:val="0"/>
            <w:vAlign w:val="center"/>
          </w:tcPr>
          <w:p w14:paraId="4F39BD2D">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5BAF154B">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养殖技术推广</w:t>
            </w:r>
          </w:p>
        </w:tc>
        <w:tc>
          <w:tcPr>
            <w:tcW w:w="1019" w:type="pct"/>
            <w:noWrap w:val="0"/>
            <w:vAlign w:val="center"/>
          </w:tcPr>
          <w:p w14:paraId="3D0ACD23">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灵山县</w:t>
            </w:r>
            <w:r>
              <w:rPr>
                <w:rFonts w:hint="eastAsia" w:ascii="仿宋_GB2312" w:hAnsi="仿宋_GB2312" w:cs="仿宋_GB2312"/>
                <w:sz w:val="24"/>
                <w:lang w:val="en-US" w:eastAsia="zh-CN"/>
              </w:rPr>
              <w:t>畜牧技术服务站</w:t>
            </w:r>
          </w:p>
        </w:tc>
        <w:tc>
          <w:tcPr>
            <w:tcW w:w="1839" w:type="pct"/>
            <w:noWrap w:val="0"/>
            <w:vAlign w:val="center"/>
          </w:tcPr>
          <w:p w14:paraId="5D22EC36">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56E1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549D1FAF">
            <w:pPr>
              <w:ind w:firstLine="0" w:firstLineChars="0"/>
              <w:jc w:val="center"/>
              <w:rPr>
                <w:rFonts w:hint="eastAsia" w:ascii="仿宋_GB2312" w:hAnsi="仿宋_GB2312" w:cs="仿宋_GB2312"/>
                <w:sz w:val="24"/>
              </w:rPr>
            </w:pPr>
            <w:r>
              <w:rPr>
                <w:rFonts w:hint="eastAsia" w:ascii="仿宋_GB2312" w:hAnsi="仿宋_GB2312" w:cs="仿宋_GB2312"/>
                <w:sz w:val="24"/>
              </w:rPr>
              <w:t>吕冠霖</w:t>
            </w:r>
          </w:p>
        </w:tc>
        <w:tc>
          <w:tcPr>
            <w:tcW w:w="837" w:type="pct"/>
            <w:noWrap w:val="0"/>
            <w:vAlign w:val="center"/>
          </w:tcPr>
          <w:p w14:paraId="7C9E5EC4">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高级畜牧师</w:t>
            </w:r>
          </w:p>
        </w:tc>
        <w:tc>
          <w:tcPr>
            <w:tcW w:w="771" w:type="pct"/>
            <w:noWrap w:val="0"/>
            <w:vAlign w:val="center"/>
          </w:tcPr>
          <w:p w14:paraId="68E62ECF">
            <w:pPr>
              <w:ind w:firstLine="0" w:firstLineChars="0"/>
              <w:jc w:val="center"/>
              <w:rPr>
                <w:rFonts w:hint="eastAsia" w:ascii="仿宋_GB2312" w:hAnsi="仿宋_GB2312" w:eastAsia="仿宋_GB2312" w:cs="仿宋_GB2312"/>
                <w:color w:val="000000"/>
                <w:sz w:val="24"/>
                <w:lang w:val="en-US" w:bidi="ar"/>
              </w:rPr>
            </w:pPr>
            <w:r>
              <w:rPr>
                <w:rFonts w:hint="eastAsia" w:ascii="仿宋_GB2312" w:hAnsi="仿宋_GB2312" w:eastAsia="仿宋_GB2312" w:cs="仿宋_GB2312"/>
                <w:color w:val="000000"/>
                <w:sz w:val="24"/>
                <w:lang w:val="en-US" w:eastAsia="zh-CN" w:bidi="ar"/>
              </w:rPr>
              <w:t>动物繁殖育种</w:t>
            </w:r>
          </w:p>
        </w:tc>
        <w:tc>
          <w:tcPr>
            <w:tcW w:w="1019" w:type="pct"/>
            <w:noWrap w:val="0"/>
            <w:vAlign w:val="center"/>
          </w:tcPr>
          <w:p w14:paraId="530E8E70">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广西农业工程职业技术学院</w:t>
            </w:r>
          </w:p>
        </w:tc>
        <w:tc>
          <w:tcPr>
            <w:tcW w:w="1839" w:type="pct"/>
            <w:noWrap w:val="0"/>
            <w:vAlign w:val="center"/>
          </w:tcPr>
          <w:p w14:paraId="062E4E06">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60D1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67FC4497">
            <w:pPr>
              <w:ind w:firstLine="0" w:firstLineChars="0"/>
              <w:jc w:val="center"/>
              <w:rPr>
                <w:rFonts w:hint="eastAsia" w:ascii="仿宋_GB2312" w:hAnsi="仿宋_GB2312" w:cs="仿宋_GB2312"/>
                <w:sz w:val="24"/>
              </w:rPr>
            </w:pPr>
            <w:r>
              <w:rPr>
                <w:rFonts w:hint="eastAsia" w:ascii="仿宋_GB2312" w:hAnsi="仿宋_GB2312" w:cs="仿宋_GB2312"/>
                <w:sz w:val="24"/>
              </w:rPr>
              <w:t>赖玉燊</w:t>
            </w:r>
          </w:p>
        </w:tc>
        <w:tc>
          <w:tcPr>
            <w:tcW w:w="837" w:type="pct"/>
            <w:noWrap w:val="0"/>
            <w:vAlign w:val="center"/>
          </w:tcPr>
          <w:p w14:paraId="2A725C35">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70FDA578">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动物繁殖育种</w:t>
            </w:r>
          </w:p>
        </w:tc>
        <w:tc>
          <w:tcPr>
            <w:tcW w:w="1019" w:type="pct"/>
            <w:noWrap w:val="0"/>
            <w:vAlign w:val="center"/>
          </w:tcPr>
          <w:p w14:paraId="36F2CF1A">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广西农业工程职业技术学院</w:t>
            </w:r>
          </w:p>
        </w:tc>
        <w:tc>
          <w:tcPr>
            <w:tcW w:w="1839" w:type="pct"/>
            <w:noWrap w:val="0"/>
            <w:vAlign w:val="center"/>
          </w:tcPr>
          <w:p w14:paraId="4542F065">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4AE2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3B01726D">
            <w:pPr>
              <w:ind w:firstLine="0" w:firstLineChars="0"/>
              <w:jc w:val="center"/>
              <w:rPr>
                <w:rFonts w:hint="eastAsia" w:ascii="仿宋_GB2312" w:hAnsi="仿宋_GB2312" w:cs="仿宋_GB2312"/>
                <w:sz w:val="24"/>
              </w:rPr>
            </w:pPr>
            <w:r>
              <w:rPr>
                <w:rFonts w:hint="eastAsia" w:ascii="仿宋_GB2312" w:hAnsi="仿宋_GB2312" w:cs="仿宋_GB2312"/>
                <w:sz w:val="24"/>
              </w:rPr>
              <w:t>李金泽</w:t>
            </w:r>
          </w:p>
        </w:tc>
        <w:tc>
          <w:tcPr>
            <w:tcW w:w="837" w:type="pct"/>
            <w:noWrap w:val="0"/>
            <w:vAlign w:val="center"/>
          </w:tcPr>
          <w:p w14:paraId="1B9D5721">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w:t>
            </w:r>
          </w:p>
        </w:tc>
        <w:tc>
          <w:tcPr>
            <w:tcW w:w="771" w:type="pct"/>
            <w:noWrap w:val="0"/>
            <w:vAlign w:val="center"/>
          </w:tcPr>
          <w:p w14:paraId="61791585">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水牛养殖</w:t>
            </w:r>
          </w:p>
        </w:tc>
        <w:tc>
          <w:tcPr>
            <w:tcW w:w="1019" w:type="pct"/>
            <w:noWrap w:val="0"/>
            <w:vAlign w:val="center"/>
          </w:tcPr>
          <w:p w14:paraId="12C15017">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皇氏赛尔生物科技(广西)有限公司</w:t>
            </w:r>
          </w:p>
        </w:tc>
        <w:tc>
          <w:tcPr>
            <w:tcW w:w="1839" w:type="pct"/>
            <w:noWrap w:val="0"/>
            <w:vAlign w:val="center"/>
          </w:tcPr>
          <w:p w14:paraId="6B685E79">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0F09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55331597">
            <w:pPr>
              <w:ind w:firstLine="0" w:firstLineChars="0"/>
              <w:jc w:val="center"/>
              <w:rPr>
                <w:rFonts w:hint="eastAsia" w:ascii="仿宋_GB2312" w:hAnsi="仿宋_GB2312" w:cs="仿宋_GB2312"/>
                <w:sz w:val="24"/>
              </w:rPr>
            </w:pPr>
            <w:r>
              <w:rPr>
                <w:rFonts w:hint="eastAsia" w:ascii="仿宋_GB2312" w:hAnsi="仿宋_GB2312" w:cs="仿宋_GB2312"/>
                <w:sz w:val="24"/>
              </w:rPr>
              <w:t>王乐怡</w:t>
            </w:r>
          </w:p>
        </w:tc>
        <w:tc>
          <w:tcPr>
            <w:tcW w:w="837" w:type="pct"/>
            <w:noWrap w:val="0"/>
            <w:vAlign w:val="center"/>
          </w:tcPr>
          <w:p w14:paraId="5C9717EC">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w:t>
            </w:r>
          </w:p>
        </w:tc>
        <w:tc>
          <w:tcPr>
            <w:tcW w:w="771" w:type="pct"/>
            <w:noWrap w:val="0"/>
            <w:vAlign w:val="center"/>
          </w:tcPr>
          <w:p w14:paraId="4149CB90">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水牛养殖</w:t>
            </w:r>
          </w:p>
        </w:tc>
        <w:tc>
          <w:tcPr>
            <w:tcW w:w="1019" w:type="pct"/>
            <w:noWrap w:val="0"/>
            <w:vAlign w:val="center"/>
          </w:tcPr>
          <w:p w14:paraId="2889DEB7">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皇氏赛尔生物科技(广西)有限公司</w:t>
            </w:r>
          </w:p>
        </w:tc>
        <w:tc>
          <w:tcPr>
            <w:tcW w:w="1839" w:type="pct"/>
            <w:noWrap w:val="0"/>
            <w:vAlign w:val="center"/>
          </w:tcPr>
          <w:p w14:paraId="4BD1CEB1">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40E4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1D84ED86">
            <w:pPr>
              <w:ind w:firstLine="0" w:firstLineChars="0"/>
              <w:jc w:val="center"/>
              <w:rPr>
                <w:rFonts w:hint="eastAsia" w:ascii="仿宋_GB2312" w:hAnsi="仿宋_GB2312" w:cs="仿宋_GB2312"/>
                <w:sz w:val="24"/>
              </w:rPr>
            </w:pPr>
            <w:r>
              <w:rPr>
                <w:rFonts w:hint="eastAsia" w:ascii="仿宋_GB2312" w:hAnsi="仿宋_GB2312" w:cs="仿宋_GB2312"/>
                <w:sz w:val="24"/>
              </w:rPr>
              <w:t>韦剑欢</w:t>
            </w:r>
          </w:p>
        </w:tc>
        <w:tc>
          <w:tcPr>
            <w:tcW w:w="837" w:type="pct"/>
            <w:noWrap w:val="0"/>
            <w:vAlign w:val="center"/>
          </w:tcPr>
          <w:p w14:paraId="0BC837AD">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副总经理</w:t>
            </w:r>
          </w:p>
        </w:tc>
        <w:tc>
          <w:tcPr>
            <w:tcW w:w="771" w:type="pct"/>
            <w:noWrap w:val="0"/>
            <w:vAlign w:val="center"/>
          </w:tcPr>
          <w:p w14:paraId="0594927B">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水牛养殖</w:t>
            </w:r>
          </w:p>
        </w:tc>
        <w:tc>
          <w:tcPr>
            <w:tcW w:w="1019" w:type="pct"/>
            <w:noWrap w:val="0"/>
            <w:vAlign w:val="center"/>
          </w:tcPr>
          <w:p w14:paraId="27FDD231">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广西灵山百菲奶水牛养殖有限公司</w:t>
            </w:r>
          </w:p>
        </w:tc>
        <w:tc>
          <w:tcPr>
            <w:tcW w:w="1839" w:type="pct"/>
            <w:noWrap w:val="0"/>
            <w:vAlign w:val="center"/>
          </w:tcPr>
          <w:p w14:paraId="3E57B03F">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74323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6ACC3C4B">
            <w:pPr>
              <w:ind w:firstLine="0" w:firstLineChars="0"/>
              <w:jc w:val="center"/>
              <w:rPr>
                <w:rFonts w:hint="eastAsia" w:ascii="仿宋_GB2312" w:hAnsi="仿宋_GB2312" w:cs="仿宋_GB2312"/>
                <w:sz w:val="24"/>
              </w:rPr>
            </w:pPr>
            <w:r>
              <w:rPr>
                <w:rFonts w:hint="eastAsia" w:ascii="仿宋_GB2312" w:hAnsi="仿宋_GB2312" w:cs="仿宋_GB2312"/>
                <w:sz w:val="24"/>
              </w:rPr>
              <w:t>黄强</w:t>
            </w:r>
          </w:p>
        </w:tc>
        <w:tc>
          <w:tcPr>
            <w:tcW w:w="837" w:type="pct"/>
            <w:noWrap w:val="0"/>
            <w:vAlign w:val="center"/>
          </w:tcPr>
          <w:p w14:paraId="0ABED1CA">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副总经理</w:t>
            </w:r>
          </w:p>
        </w:tc>
        <w:tc>
          <w:tcPr>
            <w:tcW w:w="771" w:type="pct"/>
            <w:noWrap w:val="0"/>
            <w:vAlign w:val="center"/>
          </w:tcPr>
          <w:p w14:paraId="33479176">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水牛养殖</w:t>
            </w:r>
          </w:p>
        </w:tc>
        <w:tc>
          <w:tcPr>
            <w:tcW w:w="1019" w:type="pct"/>
            <w:noWrap w:val="0"/>
            <w:vAlign w:val="center"/>
          </w:tcPr>
          <w:p w14:paraId="6550BB38">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广西灵山百菲奶水牛养殖有限公司</w:t>
            </w:r>
          </w:p>
        </w:tc>
        <w:tc>
          <w:tcPr>
            <w:tcW w:w="1839" w:type="pct"/>
            <w:noWrap w:val="0"/>
            <w:vAlign w:val="center"/>
          </w:tcPr>
          <w:p w14:paraId="7435B753">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7AA4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23F3A5CD">
            <w:pPr>
              <w:ind w:firstLine="0" w:firstLineChars="0"/>
              <w:jc w:val="center"/>
              <w:rPr>
                <w:rFonts w:hint="eastAsia" w:ascii="仿宋_GB2312" w:hAnsi="仿宋_GB2312" w:cs="仿宋_GB2312"/>
                <w:sz w:val="24"/>
              </w:rPr>
            </w:pPr>
            <w:r>
              <w:rPr>
                <w:rFonts w:hint="eastAsia" w:ascii="仿宋_GB2312" w:hAnsi="仿宋_GB2312" w:cs="仿宋_GB2312"/>
                <w:sz w:val="24"/>
              </w:rPr>
              <w:t>杨清容</w:t>
            </w:r>
          </w:p>
        </w:tc>
        <w:tc>
          <w:tcPr>
            <w:tcW w:w="837" w:type="pct"/>
            <w:noWrap w:val="0"/>
            <w:vAlign w:val="center"/>
          </w:tcPr>
          <w:p w14:paraId="1970F54A">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正高级畜牧师</w:t>
            </w:r>
          </w:p>
        </w:tc>
        <w:tc>
          <w:tcPr>
            <w:tcW w:w="771" w:type="pct"/>
            <w:noWrap w:val="0"/>
            <w:vAlign w:val="center"/>
          </w:tcPr>
          <w:p w14:paraId="7C5B4A9A">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养殖技术推广</w:t>
            </w:r>
          </w:p>
        </w:tc>
        <w:tc>
          <w:tcPr>
            <w:tcW w:w="1019" w:type="pct"/>
            <w:noWrap w:val="0"/>
            <w:vAlign w:val="center"/>
          </w:tcPr>
          <w:p w14:paraId="3A7E9C6E">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来宾市畜牧水产养殖服务中心</w:t>
            </w:r>
          </w:p>
        </w:tc>
        <w:tc>
          <w:tcPr>
            <w:tcW w:w="1839" w:type="pct"/>
            <w:noWrap w:val="0"/>
            <w:vAlign w:val="center"/>
          </w:tcPr>
          <w:p w14:paraId="30D8D8DD">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4266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595A4449">
            <w:pPr>
              <w:ind w:firstLine="0" w:firstLineChars="0"/>
              <w:jc w:val="center"/>
              <w:rPr>
                <w:rFonts w:hint="eastAsia" w:ascii="仿宋_GB2312" w:hAnsi="仿宋_GB2312" w:cs="仿宋_GB2312"/>
                <w:sz w:val="24"/>
              </w:rPr>
            </w:pPr>
            <w:r>
              <w:rPr>
                <w:rFonts w:hint="eastAsia" w:ascii="仿宋_GB2312" w:hAnsi="仿宋_GB2312" w:cs="仿宋_GB2312"/>
                <w:sz w:val="24"/>
              </w:rPr>
              <w:t>舒秀远</w:t>
            </w:r>
          </w:p>
        </w:tc>
        <w:tc>
          <w:tcPr>
            <w:tcW w:w="837" w:type="pct"/>
            <w:noWrap w:val="0"/>
            <w:vAlign w:val="center"/>
          </w:tcPr>
          <w:p w14:paraId="15125232">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高级畜牧师</w:t>
            </w:r>
          </w:p>
        </w:tc>
        <w:tc>
          <w:tcPr>
            <w:tcW w:w="771" w:type="pct"/>
            <w:noWrap w:val="0"/>
            <w:vAlign w:val="center"/>
          </w:tcPr>
          <w:p w14:paraId="71562E35">
            <w:pPr>
              <w:ind w:firstLine="0" w:firstLineChars="0"/>
              <w:jc w:val="center"/>
              <w:rPr>
                <w:rFonts w:hint="eastAsia" w:ascii="仿宋_GB2312" w:hAnsi="仿宋_GB2312" w:eastAsia="仿宋_GB2312" w:cs="仿宋_GB2312"/>
                <w:color w:val="000000"/>
                <w:kern w:val="2"/>
                <w:sz w:val="24"/>
                <w:szCs w:val="24"/>
                <w:lang w:val="en-US" w:eastAsia="zh-CN" w:bidi="ar"/>
              </w:rPr>
            </w:pPr>
            <w:r>
              <w:rPr>
                <w:rFonts w:hint="eastAsia" w:ascii="仿宋_GB2312" w:hAnsi="仿宋_GB2312" w:eastAsia="仿宋_GB2312" w:cs="仿宋_GB2312"/>
                <w:color w:val="000000"/>
                <w:sz w:val="24"/>
                <w:lang w:val="en-US" w:eastAsia="zh-CN" w:bidi="ar"/>
              </w:rPr>
              <w:t>养殖技术推广</w:t>
            </w:r>
          </w:p>
        </w:tc>
        <w:tc>
          <w:tcPr>
            <w:tcW w:w="1019" w:type="pct"/>
            <w:noWrap w:val="0"/>
            <w:vAlign w:val="center"/>
          </w:tcPr>
          <w:p w14:paraId="775257FC">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cs="仿宋_GB2312"/>
                <w:sz w:val="24"/>
              </w:rPr>
              <w:t>来宾市畜牧水产养殖服务中心</w:t>
            </w:r>
          </w:p>
        </w:tc>
        <w:tc>
          <w:tcPr>
            <w:tcW w:w="1839" w:type="pct"/>
            <w:noWrap w:val="0"/>
            <w:vAlign w:val="center"/>
          </w:tcPr>
          <w:p w14:paraId="3BD50843">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r w14:paraId="4BBE9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33" w:type="pct"/>
            <w:noWrap w:val="0"/>
            <w:vAlign w:val="center"/>
          </w:tcPr>
          <w:p w14:paraId="65E4DEC0">
            <w:pPr>
              <w:ind w:firstLine="0" w:firstLineChars="0"/>
              <w:jc w:val="center"/>
              <w:rPr>
                <w:rFonts w:hint="eastAsia" w:ascii="仿宋_GB2312" w:hAnsi="仿宋_GB2312" w:cs="仿宋_GB2312"/>
                <w:sz w:val="24"/>
              </w:rPr>
            </w:pPr>
            <w:r>
              <w:rPr>
                <w:rFonts w:hint="eastAsia" w:ascii="仿宋_GB2312" w:hAnsi="仿宋_GB2312" w:cs="仿宋_GB2312"/>
                <w:kern w:val="2"/>
                <w:sz w:val="24"/>
                <w:szCs w:val="24"/>
                <w:lang w:val="en-US" w:eastAsia="zh-CN" w:bidi="ar"/>
              </w:rPr>
              <w:t>冯园青</w:t>
            </w:r>
          </w:p>
        </w:tc>
        <w:tc>
          <w:tcPr>
            <w:tcW w:w="837" w:type="pct"/>
            <w:noWrap w:val="0"/>
            <w:vAlign w:val="center"/>
          </w:tcPr>
          <w:p w14:paraId="3645B16D">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畜牧师</w:t>
            </w:r>
          </w:p>
        </w:tc>
        <w:tc>
          <w:tcPr>
            <w:tcW w:w="771" w:type="pct"/>
            <w:noWrap w:val="0"/>
            <w:vAlign w:val="center"/>
          </w:tcPr>
          <w:p w14:paraId="70B34954">
            <w:pPr>
              <w:ind w:firstLine="0" w:firstLineChars="0"/>
              <w:jc w:val="center"/>
              <w:rPr>
                <w:rFonts w:hint="eastAsia" w:ascii="仿宋_GB2312" w:hAnsi="仿宋_GB2312" w:eastAsia="仿宋_GB2312" w:cs="仿宋_GB2312"/>
                <w:color w:val="000000"/>
                <w:sz w:val="24"/>
                <w:lang w:val="en-US" w:eastAsia="zh-CN" w:bidi="ar"/>
              </w:rPr>
            </w:pPr>
            <w:r>
              <w:rPr>
                <w:rFonts w:hint="eastAsia" w:ascii="仿宋_GB2312" w:hAnsi="仿宋_GB2312" w:eastAsia="仿宋_GB2312" w:cs="仿宋_GB2312"/>
                <w:color w:val="000000"/>
                <w:sz w:val="24"/>
                <w:lang w:val="en-US" w:eastAsia="zh-CN" w:bidi="ar"/>
              </w:rPr>
              <w:t>养殖技术推广</w:t>
            </w:r>
          </w:p>
        </w:tc>
        <w:tc>
          <w:tcPr>
            <w:tcW w:w="1019" w:type="pct"/>
            <w:noWrap w:val="0"/>
            <w:vAlign w:val="center"/>
          </w:tcPr>
          <w:p w14:paraId="68384D7B">
            <w:pPr>
              <w:ind w:firstLine="0" w:firstLineChars="0"/>
              <w:jc w:val="center"/>
              <w:rPr>
                <w:rFonts w:hint="eastAsia" w:ascii="仿宋_GB2312" w:hAnsi="仿宋_GB2312" w:cs="仿宋_GB2312"/>
                <w:sz w:val="24"/>
              </w:rPr>
            </w:pPr>
            <w:r>
              <w:rPr>
                <w:rFonts w:hint="eastAsia" w:ascii="仿宋_GB2312" w:hAnsi="仿宋_GB2312" w:cs="仿宋_GB2312"/>
                <w:sz w:val="24"/>
                <w:lang w:val="en-US" w:eastAsia="zh-CN"/>
              </w:rPr>
              <w:t>南宁市江南区吴圩镇水产畜牧兽医站</w:t>
            </w:r>
          </w:p>
        </w:tc>
        <w:tc>
          <w:tcPr>
            <w:tcW w:w="1839" w:type="pct"/>
            <w:noWrap w:val="0"/>
            <w:vAlign w:val="center"/>
          </w:tcPr>
          <w:p w14:paraId="2AC88A0F">
            <w:pPr>
              <w:ind w:firstLine="0" w:firstLineChars="0"/>
              <w:jc w:val="center"/>
              <w:rPr>
                <w:rFonts w:hint="eastAsia" w:ascii="仿宋_GB2312" w:hAnsi="仿宋_GB2312" w:eastAsia="仿宋_GB2312" w:cs="仿宋_GB2312"/>
                <w:color w:val="000000"/>
                <w:sz w:val="24"/>
                <w:lang w:bidi="ar"/>
              </w:rPr>
            </w:pPr>
            <w:r>
              <w:rPr>
                <w:rFonts w:hint="eastAsia" w:ascii="仿宋_GB2312" w:hAnsi="仿宋_GB2312" w:eastAsia="仿宋_GB2312" w:cs="仿宋_GB2312"/>
                <w:color w:val="000000"/>
                <w:sz w:val="24"/>
                <w:lang w:bidi="ar"/>
              </w:rPr>
              <w:t>与标准文本及编制说明的编写；组织开展标准征求意见会</w:t>
            </w:r>
          </w:p>
        </w:tc>
      </w:tr>
    </w:tbl>
    <w:p w14:paraId="6BE1CEB3">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二、制定标准的必要性和意义</w:t>
      </w:r>
    </w:p>
    <w:p w14:paraId="1DF9958D">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近年来，国家对水牛产业的重视程度不断提高，广西成为政策支持的重点地区。在政策支持下，各地政府也大力扶持水牛产业发展，通过提供补贴、技术培训等方式鼓励农户参与水牛奶生产，为我国水牛产业发展提供强有力支撑。据统计，2025年广西全区水牛存栏量高达235万头，稳居全国之首。其中，奶水牛存栏量达5.88万头，水牛产奶总量位居全国第一。广西壮族自治区水牛研究所持续推进水牛产业化发展，已向全国推广良种水牛3000多头，组织全国各水牛产区省份开展技术培训班、高级研修班等100多期，培训技术骨干2000多人，辐射带动各地水牛养殖技术的普及与提高，有效地促进了水牛杂交改良工作。目前，在广西水牛杂交改良已扩大发展到100多个市县，并在灵山、北流、兴宾和武宣等36个示范县建立了100多个水牛养殖小区。</w:t>
      </w:r>
    </w:p>
    <w:p w14:paraId="428D5FEC">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其中，地中海水牛是国际公认的优良河流型乳用水牛品种，具有产奶量高、乳脂率和乳蛋白含量优良、体型结构匀称、肢蹄强健、适应性较强等突出特点。尽管地中海水牛种群规模相对较小，但其优异的乳用性能和遗传潜力使其成为我国水牛奶产业提质升级的重要种质资源。然而，地中海水牛产业经过多年的发展仍存在优质种源缺乏,生产性能低,育种体系尚未健全等问题。</w:t>
      </w:r>
    </w:p>
    <w:p w14:paraId="28151953">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体型线性评定是奶牛及乳用水牛育种与管理中的关键技术手段，通过对牛只体躯结构、肢蹄形态、乳房特征、尻部角度等性状进行逐项量化描述与评分，能够客观反映个体的体型优劣与结构平衡性。对于地中海水牛母牛而言，体型结构与生产性能、繁殖效率、健康状态及利用年限密切相关。系统的体型线性评定可为种牛选择、个体淘汰、选种选配提供科学依据，有助于识别体型理想的优秀个体，避免因体型缺陷导致的肢体损伤、乳房疾病及早期淘汰。同时，通过长期积累体型数据并关联产奶量、乳成分等生产记录，可有效提升遗传评估的准确性，加速群体遗传改良进程，从而整体提高地中海水牛的养殖效益和水牛奶产品的市场竞争力。</w:t>
      </w:r>
    </w:p>
    <w:p w14:paraId="54B2644C">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目前，国内针对地中海水牛体型线性评定的工作尚未形成统一，部分养殖企业、种牛场及科研单位已尝试借鉴荷斯坦奶牛等品种的线性评定方法，对地中海水牛母牛进行体型测量与评分。然而，由于缺乏针对地中海水牛品种特性的专属评定指标与分级标准，评定结果的客观性和可比性存在明显局限，尚未形成系统化的评定体系。总体来看，相关技术方法的统一性和规范性不足，制约了地中海水牛母牛体型线性评定在育种实践中的实际应用效果。</w:t>
      </w:r>
    </w:p>
    <w:p w14:paraId="6051B524">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当前，地中海水牛产业发展缺乏专门针对地中海水牛母牛体型的线性评定技术，现有评定指标多参考其他奶牛品种，未能充分反映地中海水牛的品种典型特征和选育方向。同时评定操作缺乏统一标准，不同场区或不同评定人员之间在测量部位、评分尺度、数据记录等方面存在明显差异。以及国内地中海水牛基础种群数量有限，加之育种体系尚不健全，优质种源扩繁效率较低，亟需通过规范化、标准化的体型评定技术手段挖掘和保存优良个体，为群体遗传改良提供可靠支撑。</w:t>
      </w:r>
    </w:p>
    <w:p w14:paraId="71C31B80">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通过制定团体标准《地中海水牛母牛体型线性评定技术规范》，结合地中海水牛育种需求，将原现有良好的技术内容进行系统梳理，重点针对评定指标体系的科学性和操作性进行完善，可以为地中海水牛的精准选育、遗传评估和产业提质增效提供技术依据。</w:t>
      </w:r>
    </w:p>
    <w:p w14:paraId="64CFA7EF">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三、主要起草过程</w:t>
      </w:r>
    </w:p>
    <w:p w14:paraId="0D6A5644">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olor w:val="auto"/>
          <w:sz w:val="32"/>
          <w:szCs w:val="28"/>
        </w:rPr>
      </w:pPr>
      <w:r>
        <w:rPr>
          <w:rFonts w:hint="eastAsia" w:ascii="楷体" w:hAnsi="楷体" w:eastAsia="楷体" w:cs="仿宋_GB2312"/>
          <w:b/>
          <w:color w:val="auto"/>
          <w:sz w:val="32"/>
          <w:szCs w:val="28"/>
        </w:rPr>
        <w:t>（一）成立标准编制工作组</w:t>
      </w:r>
    </w:p>
    <w:p w14:paraId="437C2B6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团体标准《</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水牛母牛体型线性评定技术规范》项目任务下达后</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广西壮族自治区水牛研究所</w:t>
      </w:r>
      <w:r>
        <w:rPr>
          <w:rFonts w:hint="eastAsia" w:ascii="仿宋_GB2312" w:hAnsi="宋体" w:eastAsia="仿宋_GB2312"/>
          <w:color w:val="auto"/>
          <w:sz w:val="32"/>
          <w:szCs w:val="28"/>
          <w:highlight w:val="none"/>
        </w:rPr>
        <w:t>成立了标准编制工作组，</w:t>
      </w:r>
      <w:r>
        <w:rPr>
          <w:rFonts w:hint="eastAsia" w:ascii="仿宋_GB2312" w:hAnsi="宋体"/>
          <w:color w:val="auto"/>
          <w:sz w:val="32"/>
          <w:szCs w:val="28"/>
          <w:highlight w:val="none"/>
          <w:lang w:val="en-US" w:eastAsia="zh-CN"/>
        </w:rPr>
        <w:t>并</w:t>
      </w:r>
      <w:r>
        <w:rPr>
          <w:rFonts w:hint="eastAsia" w:ascii="仿宋_GB2312" w:hAnsi="宋体" w:eastAsia="仿宋_GB2312"/>
          <w:color w:val="auto"/>
          <w:sz w:val="32"/>
          <w:szCs w:val="28"/>
          <w:highlight w:val="none"/>
        </w:rPr>
        <w:t>制定了起草编写方案与进度安排，明确任务职责，确定工作技术路线，开展标准研制工作。具体标准编制工作由</w:t>
      </w:r>
      <w:r>
        <w:rPr>
          <w:rFonts w:hint="eastAsia" w:ascii="仿宋_GB2312" w:hAnsi="宋体"/>
          <w:color w:val="auto"/>
          <w:sz w:val="32"/>
          <w:szCs w:val="28"/>
          <w:highlight w:val="none"/>
          <w:lang w:val="en-US" w:eastAsia="zh-CN"/>
        </w:rPr>
        <w:t>广西壮族自治区水牛研究所、中国农业大学、中国农业科学院北京畜牧兽医研究所、广西壮族自治区畜牧站、广西壮族自治区畜禽品种改良站、广西农业职业技术大学、灵山县畜牧技术服务站、广西农业工程职业技术学院、皇氏赛尔生物科技(广西)有限公司、广西灵山百菲奶水牛养殖有限公司、来宾市畜牧水产养殖服务中心</w:t>
      </w:r>
      <w:r>
        <w:rPr>
          <w:rFonts w:hint="eastAsia" w:ascii="仿宋_GB2312" w:hAnsi="宋体" w:eastAsia="仿宋_GB2312"/>
          <w:color w:val="auto"/>
          <w:sz w:val="32"/>
          <w:szCs w:val="28"/>
          <w:highlight w:val="none"/>
        </w:rPr>
        <w:t>等单位负责人组成的标</w:t>
      </w:r>
      <w:r>
        <w:rPr>
          <w:rFonts w:hint="eastAsia" w:ascii="仿宋_GB2312" w:hAnsi="宋体" w:eastAsia="仿宋_GB2312"/>
          <w:color w:val="auto"/>
          <w:sz w:val="32"/>
          <w:szCs w:val="28"/>
        </w:rPr>
        <w:t>准编制工作组完成。</w:t>
      </w:r>
    </w:p>
    <w:p w14:paraId="0D99A07B">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编制工作组下设三个组，分别是资料收集组、草案编写组、标准实施组。</w:t>
      </w:r>
    </w:p>
    <w:p w14:paraId="59AE398B">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资料收集组负责国内外有关</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水牛母牛体型线性评定的文献资料的查询、收集和整理工作，查阅前人对</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水牛母牛体型线性评定的研究情况。</w:t>
      </w:r>
    </w:p>
    <w:p w14:paraId="0BE25F71">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草案编写组负责起草标准草案、征求意见稿和标准编制说明、送审稿及编制说明的编写工作，包括后期召开征求意见会、网上征求意见，以及标准的不断修改和完善。</w:t>
      </w:r>
    </w:p>
    <w:p w14:paraId="067432A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标准实施组负责团体标准《</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w:t>
      </w:r>
      <w:r>
        <w:rPr>
          <w:rFonts w:hint="eastAsia" w:ascii="仿宋_GB2312" w:hAnsi="宋体"/>
          <w:color w:val="auto"/>
          <w:sz w:val="32"/>
          <w:szCs w:val="28"/>
          <w:lang w:val="en-US" w:eastAsia="zh-CN"/>
        </w:rPr>
        <w:t>技术规范</w:t>
      </w:r>
      <w:r>
        <w:rPr>
          <w:rFonts w:hint="eastAsia" w:ascii="仿宋_GB2312" w:hAnsi="宋体" w:eastAsia="仿宋_GB2312"/>
          <w:color w:val="auto"/>
          <w:sz w:val="32"/>
          <w:szCs w:val="28"/>
        </w:rPr>
        <w:t>》发布后，组织相关企事业单位开展标准宣贯培训会，对标准进行详细解读，让相关人员了解标准，并根据标准对</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水牛母牛体型线性评定进行规范化操作，并对标准实施情况进行总结分析，不断对团体标准提出修正意见。</w:t>
      </w:r>
    </w:p>
    <w:p w14:paraId="32C78715">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s="仿宋_GB2312"/>
          <w:b/>
          <w:color w:val="auto"/>
          <w:sz w:val="32"/>
          <w:szCs w:val="28"/>
        </w:rPr>
      </w:pPr>
      <w:r>
        <w:rPr>
          <w:rFonts w:hint="eastAsia" w:ascii="楷体" w:hAnsi="楷体" w:eastAsia="楷体" w:cs="仿宋_GB2312"/>
          <w:b/>
          <w:color w:val="auto"/>
          <w:sz w:val="32"/>
          <w:szCs w:val="28"/>
        </w:rPr>
        <w:t>（二）收集整理文献资料</w:t>
      </w:r>
    </w:p>
    <w:p w14:paraId="2B9611BD">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lang w:val="fr-FR"/>
        </w:rPr>
      </w:pPr>
      <w:r>
        <w:rPr>
          <w:rFonts w:hint="eastAsia" w:ascii="仿宋_GB2312" w:hAnsi="宋体" w:eastAsia="仿宋_GB2312"/>
          <w:color w:val="auto"/>
          <w:sz w:val="32"/>
          <w:szCs w:val="28"/>
        </w:rPr>
        <w:t>标准编制工作组收集了国内有关</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水牛母牛体型线性评定相关文献资料。主要有</w:t>
      </w:r>
      <w:r>
        <w:rPr>
          <w:rFonts w:hint="eastAsia" w:ascii="仿宋_GB2312" w:hAnsi="宋体" w:eastAsia="仿宋_GB2312"/>
          <w:color w:val="auto"/>
          <w:sz w:val="32"/>
          <w:szCs w:val="28"/>
          <w:lang w:val="fr-FR"/>
        </w:rPr>
        <w:t>：</w:t>
      </w:r>
    </w:p>
    <w:p w14:paraId="3065138A">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color w:val="auto"/>
          <w:szCs w:val="28"/>
        </w:rPr>
      </w:pPr>
      <w:r>
        <w:rPr>
          <w:rFonts w:hint="eastAsia" w:ascii="仿宋_GB2312" w:hAnsi="宋体"/>
          <w:color w:val="auto"/>
          <w:szCs w:val="28"/>
        </w:rPr>
        <w:t>《6月龄地中海水牛体重与体尺指标的相关性分析》</w:t>
      </w:r>
    </w:p>
    <w:p w14:paraId="01057F52">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eastAsia="仿宋_GB2312" w:cs="Times New Roman"/>
          <w:color w:val="auto"/>
          <w:sz w:val="32"/>
          <w:szCs w:val="28"/>
        </w:rPr>
      </w:pPr>
      <w:r>
        <w:rPr>
          <w:rFonts w:hint="eastAsia" w:ascii="仿宋_GB2312" w:hAnsi="宋体" w:cs="Times New Roman"/>
          <w:color w:val="auto"/>
          <w:szCs w:val="28"/>
        </w:rPr>
        <w:t>《地中海水牛杂交后代生长性能测定初报》</w:t>
      </w:r>
    </w:p>
    <w:p w14:paraId="7A00F2F8">
      <w:pPr>
        <w:spacing w:line="560" w:lineRule="exact"/>
        <w:ind w:firstLine="640"/>
        <w:rPr>
          <w:rFonts w:hint="eastAsia" w:ascii="仿宋_GB2312" w:hAnsi="宋体" w:cs="Times New Roman"/>
          <w:color w:val="auto"/>
          <w:szCs w:val="28"/>
        </w:rPr>
      </w:pPr>
      <w:r>
        <w:rPr>
          <w:rFonts w:hint="eastAsia" w:ascii="仿宋_GB2312" w:hAnsi="宋体" w:cs="Times New Roman"/>
          <w:color w:val="auto"/>
          <w:szCs w:val="28"/>
        </w:rPr>
        <w:t>《意大利地中海奶水牛引种观察初报》</w:t>
      </w:r>
    </w:p>
    <w:p w14:paraId="08E2FBFE">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《GB/T 35568-2017 中国荷斯坦牛体型鉴定技术规程》</w:t>
      </w:r>
    </w:p>
    <w:p w14:paraId="3E9D5FA3">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《DB65/T 3267-2011 新疆褐牛体型线性鉴定》</w:t>
      </w:r>
    </w:p>
    <w:p w14:paraId="53A7D739">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《DB6540/T 023-2023 新疆褐牛体型外貌线性评定技术规程》</w:t>
      </w:r>
    </w:p>
    <w:p w14:paraId="204E3DFA">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《T/DACS 002-2021 荷斯坦牛体型鉴定操作技术规范》</w:t>
      </w:r>
    </w:p>
    <w:p w14:paraId="4EB391FD">
      <w:pPr>
        <w:keepNext w:val="0"/>
        <w:keepLines w:val="0"/>
        <w:pageBreakBefore w:val="0"/>
        <w:kinsoku/>
        <w:overflowPunct/>
        <w:topLinePunct w:val="0"/>
        <w:bidi w:val="0"/>
        <w:snapToGrid/>
        <w:spacing w:line="560" w:lineRule="exact"/>
        <w:ind w:left="0" w:firstLine="640" w:firstLineChars="200"/>
        <w:textAlignment w:val="auto"/>
        <w:rPr>
          <w:rFonts w:hint="default" w:ascii="仿宋_GB2312" w:hAnsi="宋体" w:eastAsia="仿宋_GB2312"/>
          <w:color w:val="auto"/>
          <w:sz w:val="32"/>
          <w:szCs w:val="28"/>
          <w:lang w:val="en-US" w:eastAsia="zh-CN"/>
        </w:rPr>
      </w:pPr>
      <w:r>
        <w:rPr>
          <w:rFonts w:hint="eastAsia" w:ascii="仿宋_GB2312" w:hAnsi="宋体" w:eastAsia="仿宋_GB2312"/>
          <w:color w:val="auto"/>
          <w:sz w:val="32"/>
          <w:szCs w:val="28"/>
        </w:rPr>
        <w:t>《DB45/T 1952-2019 摩拉水牛体型线性评定》</w:t>
      </w:r>
      <w:r>
        <w:rPr>
          <w:rFonts w:hint="eastAsia" w:ascii="仿宋_GB2312" w:hAnsi="宋体"/>
          <w:color w:val="auto"/>
          <w:sz w:val="32"/>
          <w:szCs w:val="28"/>
          <w:lang w:eastAsia="zh-CN"/>
        </w:rPr>
        <w:t>（</w:t>
      </w:r>
      <w:r>
        <w:rPr>
          <w:rFonts w:hint="eastAsia" w:ascii="仿宋_GB2312" w:hAnsi="宋体"/>
          <w:color w:val="auto"/>
          <w:sz w:val="32"/>
          <w:szCs w:val="28"/>
          <w:lang w:val="en-US" w:eastAsia="zh-CN"/>
        </w:rPr>
        <w:t>已废止）</w:t>
      </w:r>
    </w:p>
    <w:p w14:paraId="373342B9">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《T/GXAS 1027-2025 尼里-拉菲水牛母牛的体型线性评定》。</w:t>
      </w:r>
    </w:p>
    <w:p w14:paraId="44937C7D">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s="仿宋_GB2312"/>
          <w:b/>
          <w:color w:val="auto"/>
          <w:sz w:val="32"/>
          <w:szCs w:val="28"/>
        </w:rPr>
      </w:pPr>
      <w:r>
        <w:rPr>
          <w:rFonts w:hint="eastAsia" w:ascii="楷体" w:hAnsi="楷体" w:eastAsia="楷体" w:cs="仿宋_GB2312"/>
          <w:b/>
          <w:color w:val="auto"/>
          <w:sz w:val="32"/>
          <w:szCs w:val="28"/>
        </w:rPr>
        <w:t>（三）研讨确定标准</w:t>
      </w:r>
      <w:r>
        <w:rPr>
          <w:rFonts w:hint="eastAsia" w:ascii="楷体" w:hAnsi="楷体" w:eastAsia="楷体" w:cs="仿宋_GB2312"/>
          <w:b/>
          <w:color w:val="auto"/>
          <w:sz w:val="32"/>
          <w:szCs w:val="28"/>
          <w:lang w:val="en-US" w:eastAsia="zh-CN"/>
        </w:rPr>
        <w:t>特色、创新点、</w:t>
      </w:r>
      <w:r>
        <w:rPr>
          <w:rFonts w:hint="eastAsia" w:ascii="楷体" w:hAnsi="楷体" w:eastAsia="楷体" w:cs="仿宋_GB2312"/>
          <w:b/>
          <w:color w:val="auto"/>
          <w:sz w:val="32"/>
          <w:szCs w:val="28"/>
        </w:rPr>
        <w:t>主体内容</w:t>
      </w:r>
    </w:p>
    <w:p w14:paraId="2963878A">
      <w:pPr>
        <w:keepNext w:val="0"/>
        <w:keepLines w:val="0"/>
        <w:pageBreakBefore w:val="0"/>
        <w:kinsoku/>
        <w:overflowPunct/>
        <w:topLinePunct w:val="0"/>
        <w:bidi w:val="0"/>
        <w:snapToGrid/>
        <w:ind w:left="0" w:firstLine="640" w:firstLineChars="200"/>
        <w:textAlignment w:val="auto"/>
        <w:rPr>
          <w:rFonts w:hint="eastAsia" w:ascii="仿宋_GB2312" w:hAnsi="宋体"/>
          <w:color w:val="auto"/>
          <w:sz w:val="32"/>
          <w:szCs w:val="28"/>
          <w:lang w:val="en-US" w:eastAsia="zh-CN"/>
        </w:rPr>
      </w:pPr>
      <w:r>
        <w:rPr>
          <w:rFonts w:hint="eastAsia" w:ascii="仿宋_GB2312" w:hAnsi="宋体"/>
          <w:color w:val="auto"/>
          <w:sz w:val="32"/>
          <w:szCs w:val="28"/>
          <w:lang w:val="en-US" w:eastAsia="zh-CN"/>
        </w:rPr>
        <w:t>1、创新点</w:t>
      </w:r>
    </w:p>
    <w:p w14:paraId="3ACF205F">
      <w:pPr>
        <w:ind w:firstLine="640"/>
        <w:rPr>
          <w:rFonts w:hint="eastAsia" w:ascii="仿宋_GB2312" w:hAnsi="宋体" w:cs="Times New Roman"/>
          <w:color w:val="auto"/>
          <w:szCs w:val="28"/>
          <w:lang w:val="en-US" w:eastAsia="zh-CN"/>
        </w:rPr>
      </w:pPr>
      <w:r>
        <w:rPr>
          <w:rFonts w:hint="eastAsia" w:ascii="仿宋_GB2312" w:hAnsi="宋体" w:cs="Times New Roman"/>
          <w:color w:val="auto"/>
          <w:szCs w:val="28"/>
          <w:lang w:val="en-US" w:eastAsia="zh-CN"/>
        </w:rPr>
        <w:t>（1）依据地中海水牛大量测量数据，分析了地中海水牛母牛在体躯容量、尻部等部位与其他品种水牛的尺寸差异，确定了适合地中海水牛母牛体型的线性评分标准。</w:t>
      </w:r>
    </w:p>
    <w:p w14:paraId="288C18D6">
      <w:pPr>
        <w:keepNext w:val="0"/>
        <w:keepLines w:val="0"/>
        <w:pageBreakBefore w:val="0"/>
        <w:kinsoku/>
        <w:overflowPunct/>
        <w:topLinePunct w:val="0"/>
        <w:bidi w:val="0"/>
        <w:snapToGrid/>
        <w:ind w:left="0" w:firstLine="640" w:firstLineChars="0"/>
        <w:textAlignment w:val="auto"/>
        <w:rPr>
          <w:rFonts w:hint="eastAsia" w:ascii="仿宋_GB2312" w:hAnsi="宋体"/>
          <w:color w:val="auto"/>
          <w:sz w:val="32"/>
          <w:szCs w:val="28"/>
          <w:lang w:val="en-US" w:eastAsia="zh-CN"/>
        </w:rPr>
      </w:pPr>
      <w:r>
        <w:rPr>
          <w:rFonts w:hint="eastAsia" w:ascii="仿宋_GB2312" w:hAnsi="宋体" w:cs="Times New Roman"/>
          <w:color w:val="auto"/>
          <w:szCs w:val="28"/>
          <w:lang w:val="en-US" w:eastAsia="zh-CN"/>
        </w:rPr>
        <w:t>（2）明确了地中海水牛母牛体型线性评定性状线性分、功能分和权重计算，同时基于前期大量实测照片的基础上，给出了地中海水牛母牛体型线性评定各部位测量评分标准图作为评定操作指引。</w:t>
      </w:r>
    </w:p>
    <w:p w14:paraId="2A81DD5F">
      <w:pPr>
        <w:keepNext w:val="0"/>
        <w:keepLines w:val="0"/>
        <w:pageBreakBefore w:val="0"/>
        <w:kinsoku/>
        <w:overflowPunct/>
        <w:topLinePunct w:val="0"/>
        <w:bidi w:val="0"/>
        <w:snapToGrid/>
        <w:ind w:left="0" w:firstLine="640" w:firstLineChars="200"/>
        <w:textAlignment w:val="auto"/>
        <w:rPr>
          <w:rFonts w:hint="default" w:ascii="仿宋_GB2312" w:hAnsi="宋体"/>
          <w:color w:val="auto"/>
          <w:sz w:val="32"/>
          <w:szCs w:val="28"/>
          <w:lang w:val="en-US" w:eastAsia="zh-CN"/>
        </w:rPr>
      </w:pPr>
      <w:r>
        <w:rPr>
          <w:rFonts w:hint="eastAsia" w:ascii="仿宋_GB2312" w:hAnsi="宋体"/>
          <w:color w:val="auto"/>
          <w:sz w:val="32"/>
          <w:szCs w:val="28"/>
          <w:lang w:val="en-US" w:eastAsia="zh-CN"/>
        </w:rPr>
        <w:t>2、主体内容</w:t>
      </w:r>
    </w:p>
    <w:p w14:paraId="691B939C">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标准编制工作组在对收集的资料进行整理研究之后，标准编制工作组召开了标准编制会议，对标准的整体框架结构进行了研究，并对标准的关键性内容进行了初步探讨。经过研究，标准的主体内容确定为</w:t>
      </w:r>
      <w:r>
        <w:rPr>
          <w:rFonts w:hint="eastAsia" w:ascii="仿宋_GB2312" w:hAnsi="宋体"/>
          <w:color w:val="auto"/>
          <w:sz w:val="32"/>
          <w:szCs w:val="28"/>
          <w:lang w:val="en-US" w:eastAsia="zh-CN"/>
        </w:rPr>
        <w:t>术语和定义、</w:t>
      </w:r>
      <w:r>
        <w:rPr>
          <w:rFonts w:hint="eastAsia" w:ascii="仿宋_GB2312" w:hAnsi="宋体"/>
          <w:color w:val="auto"/>
          <w:sz w:val="32"/>
          <w:szCs w:val="28"/>
          <w:highlight w:val="none"/>
          <w:lang w:val="en-US" w:eastAsia="zh-CN"/>
        </w:rPr>
        <w:t>基本要求、综合评分与等级划分</w:t>
      </w:r>
      <w:r>
        <w:rPr>
          <w:rFonts w:hint="eastAsia" w:ascii="仿宋_GB2312" w:hAnsi="宋体" w:eastAsia="仿宋_GB2312"/>
          <w:color w:val="auto"/>
          <w:sz w:val="32"/>
          <w:szCs w:val="28"/>
        </w:rPr>
        <w:t>。</w:t>
      </w:r>
    </w:p>
    <w:p w14:paraId="61FABD75">
      <w:pPr>
        <w:keepNext w:val="0"/>
        <w:keepLines w:val="0"/>
        <w:pageBreakBefore w:val="0"/>
        <w:kinsoku/>
        <w:overflowPunct/>
        <w:topLinePunct w:val="0"/>
        <w:bidi w:val="0"/>
        <w:snapToGrid/>
        <w:spacing w:line="560" w:lineRule="exact"/>
        <w:ind w:left="0" w:firstLine="643" w:firstLineChars="200"/>
        <w:textAlignment w:val="auto"/>
        <w:rPr>
          <w:rFonts w:ascii="楷体" w:hAnsi="楷体" w:eastAsia="楷体" w:cs="仿宋_GB2312"/>
          <w:b/>
          <w:color w:val="auto"/>
          <w:sz w:val="32"/>
          <w:szCs w:val="28"/>
        </w:rPr>
      </w:pPr>
      <w:r>
        <w:rPr>
          <w:rFonts w:hint="eastAsia" w:ascii="楷体" w:hAnsi="楷体" w:eastAsia="楷体" w:cs="仿宋_GB2312"/>
          <w:b/>
          <w:color w:val="auto"/>
          <w:sz w:val="32"/>
          <w:szCs w:val="28"/>
        </w:rPr>
        <w:t>（四）调研及形成草案、征求意见稿</w:t>
      </w:r>
    </w:p>
    <w:p w14:paraId="6B43200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4-5</w:t>
      </w:r>
      <w:r>
        <w:rPr>
          <w:rFonts w:hint="eastAsia" w:ascii="仿宋_GB2312" w:hAnsi="宋体" w:eastAsia="仿宋_GB2312"/>
          <w:color w:val="auto"/>
          <w:sz w:val="32"/>
          <w:szCs w:val="28"/>
        </w:rPr>
        <w:t>月，标准起草工作小组进行了广泛调研工作，查阅了大量的国内外文献资料，对</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水牛母牛体型线性评定的前人研究成果进行系统总结。形成了标准的基本构架，对主要内容进行了讨论并对项目的工作进行了部署和安排。</w:t>
      </w:r>
    </w:p>
    <w:p w14:paraId="09305CF3">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6</w:t>
      </w:r>
      <w:r>
        <w:rPr>
          <w:rFonts w:hint="eastAsia" w:ascii="仿宋_GB2312" w:hAnsi="宋体" w:eastAsia="仿宋_GB2312"/>
          <w:color w:val="auto"/>
          <w:sz w:val="32"/>
          <w:szCs w:val="28"/>
        </w:rPr>
        <w:t>月，在前期工作的基础之上，通过理清逻辑脉络，整合已有的参考资料中有关</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水牛母牛体型线性评定要求，并结合</w:t>
      </w:r>
      <w:r>
        <w:rPr>
          <w:rFonts w:hint="eastAsia" w:ascii="仿宋_GB2312" w:hAnsi="宋体"/>
          <w:color w:val="auto"/>
          <w:sz w:val="32"/>
          <w:szCs w:val="28"/>
          <w:lang w:val="en-US" w:eastAsia="zh-CN"/>
        </w:rPr>
        <w:t>评定工作</w:t>
      </w:r>
      <w:r>
        <w:rPr>
          <w:rFonts w:hint="eastAsia" w:ascii="仿宋_GB2312" w:hAnsi="宋体" w:eastAsia="仿宋_GB2312"/>
          <w:color w:val="auto"/>
          <w:sz w:val="32"/>
          <w:szCs w:val="28"/>
        </w:rPr>
        <w:t>实际要求的基础上，按照简化、统一等原则编制完成团体标准《</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w:t>
      </w:r>
      <w:r>
        <w:rPr>
          <w:rFonts w:hint="eastAsia" w:ascii="仿宋_GB2312" w:hAnsi="宋体"/>
          <w:color w:val="auto"/>
          <w:sz w:val="32"/>
          <w:szCs w:val="28"/>
          <w:lang w:val="en-US" w:eastAsia="zh-CN"/>
        </w:rPr>
        <w:t>技术规范</w:t>
      </w:r>
      <w:r>
        <w:rPr>
          <w:rFonts w:hint="eastAsia" w:ascii="仿宋_GB2312" w:hAnsi="宋体" w:eastAsia="仿宋_GB2312"/>
          <w:color w:val="auto"/>
          <w:sz w:val="32"/>
          <w:szCs w:val="28"/>
        </w:rPr>
        <w:t>》（草案）。</w:t>
      </w:r>
    </w:p>
    <w:p w14:paraId="1F6A96F1">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7</w:t>
      </w:r>
      <w:r>
        <w:rPr>
          <w:rFonts w:hint="eastAsia" w:ascii="仿宋_GB2312" w:hAnsi="宋体" w:eastAsia="仿宋_GB2312"/>
          <w:color w:val="auto"/>
          <w:sz w:val="32"/>
          <w:szCs w:val="28"/>
        </w:rPr>
        <w:t>月，标准起草工作组到</w:t>
      </w:r>
      <w:r>
        <w:rPr>
          <w:rFonts w:ascii="仿宋_GB2312" w:hAnsi="宋体" w:eastAsia="仿宋_GB2312"/>
          <w:color w:val="auto"/>
          <w:sz w:val="32"/>
          <w:szCs w:val="28"/>
        </w:rPr>
        <w:t>相关单位和科研机构进行调研，开展</w:t>
      </w:r>
      <w:r>
        <w:rPr>
          <w:rFonts w:hint="eastAsia" w:ascii="仿宋_GB2312" w:hAnsi="宋体"/>
          <w:color w:val="auto"/>
          <w:sz w:val="32"/>
          <w:szCs w:val="28"/>
          <w:lang w:val="en-US" w:eastAsia="zh-CN"/>
        </w:rPr>
        <w:t>实践</w:t>
      </w:r>
      <w:r>
        <w:rPr>
          <w:rFonts w:ascii="仿宋_GB2312" w:hAnsi="宋体" w:eastAsia="仿宋_GB2312"/>
          <w:color w:val="auto"/>
          <w:sz w:val="32"/>
          <w:szCs w:val="28"/>
        </w:rPr>
        <w:t>验证</w:t>
      </w:r>
      <w:r>
        <w:rPr>
          <w:rFonts w:hint="eastAsia" w:ascii="仿宋_GB2312" w:hAnsi="宋体" w:eastAsia="仿宋_GB2312"/>
          <w:color w:val="auto"/>
          <w:sz w:val="32"/>
          <w:szCs w:val="28"/>
        </w:rPr>
        <w:t>。并实际征求意见，通过收集反馈了大量意见，标准编制工作组多次召开会议，对标准草案进行了反复修改和研究讨论。进一步讨论完善标准草案，形成团体标准《</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w:t>
      </w:r>
      <w:r>
        <w:rPr>
          <w:rFonts w:hint="eastAsia" w:ascii="仿宋_GB2312" w:hAnsi="宋体"/>
          <w:color w:val="auto"/>
          <w:sz w:val="32"/>
          <w:szCs w:val="28"/>
          <w:lang w:val="en-US" w:eastAsia="zh-CN"/>
        </w:rPr>
        <w:t>技术规范</w:t>
      </w:r>
      <w:r>
        <w:rPr>
          <w:rFonts w:hint="eastAsia" w:ascii="仿宋_GB2312" w:hAnsi="宋体" w:eastAsia="仿宋_GB2312"/>
          <w:color w:val="auto"/>
          <w:sz w:val="32"/>
          <w:szCs w:val="28"/>
        </w:rPr>
        <w:t>》（征求意见稿）和（征求意见稿）编制说明。</w:t>
      </w:r>
    </w:p>
    <w:p w14:paraId="3B832357">
      <w:pPr>
        <w:keepNext w:val="0"/>
        <w:keepLines w:val="0"/>
        <w:pageBreakBefore w:val="0"/>
        <w:kinsoku/>
        <w:overflowPunct/>
        <w:topLinePunct w:val="0"/>
        <w:autoSpaceDE w:val="0"/>
        <w:autoSpaceDN w:val="0"/>
        <w:bidi w:val="0"/>
        <w:adjustRightInd w:val="0"/>
        <w:snapToGrid/>
        <w:ind w:left="0"/>
        <w:jc w:val="left"/>
        <w:textAlignment w:val="auto"/>
        <w:rPr>
          <w:rFonts w:eastAsia="黑体"/>
          <w:bCs/>
          <w:color w:val="auto"/>
          <w:sz w:val="32"/>
          <w:szCs w:val="32"/>
        </w:rPr>
      </w:pPr>
      <w:bookmarkStart w:id="0" w:name="_Toc526940083"/>
      <w:r>
        <w:rPr>
          <w:rFonts w:eastAsia="黑体"/>
          <w:bCs/>
          <w:color w:val="auto"/>
          <w:sz w:val="32"/>
          <w:szCs w:val="32"/>
        </w:rPr>
        <w:t>四、</w:t>
      </w:r>
      <w:bookmarkEnd w:id="0"/>
      <w:r>
        <w:rPr>
          <w:rFonts w:eastAsia="黑体"/>
          <w:bCs/>
          <w:color w:val="auto"/>
          <w:sz w:val="32"/>
          <w:szCs w:val="32"/>
        </w:rPr>
        <w:t>制定标准的原则和依据，与现行法律、法规的关系，与有关国家标准、行业标准的协调情况</w:t>
      </w:r>
    </w:p>
    <w:p w14:paraId="30EFA250">
      <w:pPr>
        <w:pStyle w:val="11"/>
        <w:keepNext w:val="0"/>
        <w:keepLines w:val="0"/>
        <w:pageBreakBefore w:val="0"/>
        <w:kinsoku/>
        <w:overflowPunct/>
        <w:topLinePunct w:val="0"/>
        <w:bidi w:val="0"/>
        <w:snapToGrid/>
        <w:spacing w:line="560" w:lineRule="exact"/>
        <w:ind w:left="0" w:firstLine="0" w:firstLineChars="0"/>
        <w:textAlignment w:val="auto"/>
        <w:outlineLvl w:val="1"/>
        <w:rPr>
          <w:rFonts w:ascii="Times New Roman" w:eastAsia="仿宋"/>
          <w:b/>
          <w:bCs/>
          <w:color w:val="auto"/>
          <w:sz w:val="32"/>
          <w:szCs w:val="32"/>
        </w:rPr>
      </w:pPr>
      <w:r>
        <w:rPr>
          <w:rFonts w:ascii="Times New Roman" w:eastAsia="仿宋"/>
          <w:b/>
          <w:bCs/>
          <w:color w:val="auto"/>
          <w:sz w:val="32"/>
          <w:szCs w:val="32"/>
        </w:rPr>
        <w:t>（一）编制原则</w:t>
      </w:r>
    </w:p>
    <w:p w14:paraId="7432AB81">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eastAsia="仿宋"/>
          <w:b/>
          <w:bCs/>
          <w:color w:val="auto"/>
          <w:kern w:val="0"/>
          <w:sz w:val="32"/>
          <w:szCs w:val="32"/>
        </w:rPr>
        <w:t>1、实用性原则</w:t>
      </w:r>
    </w:p>
    <w:p w14:paraId="096AD80F">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本文件是在充分收集相关资料和文献，分析</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水牛母牛体型线性评定当前现状，在现有相关</w:t>
      </w:r>
      <w:r>
        <w:rPr>
          <w:rFonts w:hint="eastAsia" w:ascii="仿宋_GB2312" w:hAnsi="宋体"/>
          <w:color w:val="auto"/>
          <w:sz w:val="32"/>
          <w:szCs w:val="28"/>
          <w:lang w:val="en-US" w:eastAsia="zh-CN"/>
        </w:rPr>
        <w:t>评定工作</w:t>
      </w:r>
      <w:r>
        <w:rPr>
          <w:rFonts w:hint="eastAsia" w:ascii="仿宋_GB2312" w:hAnsi="宋体" w:eastAsia="仿宋_GB2312"/>
          <w:color w:val="auto"/>
          <w:sz w:val="32"/>
          <w:szCs w:val="28"/>
        </w:rPr>
        <w:t>要求的基础上，结合编制单位</w:t>
      </w:r>
      <w:r>
        <w:rPr>
          <w:rFonts w:ascii="仿宋_GB2312" w:hAnsi="宋体" w:eastAsia="仿宋_GB2312"/>
          <w:color w:val="auto"/>
          <w:sz w:val="32"/>
          <w:szCs w:val="28"/>
        </w:rPr>
        <w:t>多年</w:t>
      </w:r>
      <w:r>
        <w:rPr>
          <w:rFonts w:hint="eastAsia" w:ascii="仿宋_GB2312" w:hAnsi="宋体" w:eastAsia="仿宋_GB2312"/>
          <w:color w:val="auto"/>
          <w:sz w:val="32"/>
          <w:szCs w:val="28"/>
        </w:rPr>
        <w:t>相关经验而总结起草的，符合当前</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水牛母牛体型线性评定发展的方向，具有较强的实用性和可操作性。</w:t>
      </w:r>
    </w:p>
    <w:p w14:paraId="62EF7D35">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hint="eastAsia" w:eastAsia="仿宋"/>
          <w:b/>
          <w:bCs/>
          <w:color w:val="auto"/>
          <w:kern w:val="0"/>
          <w:sz w:val="32"/>
          <w:szCs w:val="32"/>
        </w:rPr>
        <w:t>2、协调性原则</w:t>
      </w:r>
    </w:p>
    <w:p w14:paraId="18A33837">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本文件编写过程中注意了与</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水牛母牛体型线性评定相关法律法规的协调问题，在内容上与现行法律法规、标准协调一致。</w:t>
      </w:r>
    </w:p>
    <w:p w14:paraId="48B06747">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hint="eastAsia" w:eastAsia="仿宋"/>
          <w:b/>
          <w:bCs/>
          <w:color w:val="auto"/>
          <w:kern w:val="0"/>
          <w:sz w:val="32"/>
          <w:szCs w:val="32"/>
        </w:rPr>
        <w:t>3、规范性原则</w:t>
      </w:r>
    </w:p>
    <w:p w14:paraId="3276EBB5">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本文件严格参照GB/T 1.1—2020《标准化工作导则  第1部分：标准化文件的结构和起草规则》编写本标准的内容，保证标准的编写质量。</w:t>
      </w:r>
    </w:p>
    <w:p w14:paraId="173D3B39">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eastAsia="仿宋"/>
          <w:b/>
          <w:bCs/>
          <w:color w:val="auto"/>
          <w:kern w:val="0"/>
          <w:sz w:val="32"/>
          <w:szCs w:val="32"/>
        </w:rPr>
      </w:pPr>
      <w:r>
        <w:rPr>
          <w:rFonts w:hint="eastAsia" w:eastAsia="仿宋"/>
          <w:b/>
          <w:bCs/>
          <w:color w:val="auto"/>
          <w:kern w:val="0"/>
          <w:sz w:val="32"/>
          <w:szCs w:val="32"/>
        </w:rPr>
        <w:t>4、前瞻性原则</w:t>
      </w:r>
    </w:p>
    <w:p w14:paraId="2315C397">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本文件在兼顾当前</w:t>
      </w:r>
      <w:r>
        <w:rPr>
          <w:rFonts w:hint="eastAsia" w:ascii="仿宋_GB2312" w:hAnsi="宋体"/>
          <w:color w:val="auto"/>
          <w:sz w:val="32"/>
          <w:szCs w:val="28"/>
          <w:lang w:val="en-US" w:eastAsia="zh-CN"/>
        </w:rPr>
        <w:t>广西</w:t>
      </w:r>
      <w:r>
        <w:rPr>
          <w:rFonts w:hint="eastAsia" w:ascii="仿宋_GB2312" w:hAnsi="宋体" w:eastAsia="仿宋_GB2312"/>
          <w:color w:val="auto"/>
          <w:sz w:val="32"/>
          <w:szCs w:val="28"/>
        </w:rPr>
        <w:t>区内</w:t>
      </w:r>
      <w:r>
        <w:rPr>
          <w:rFonts w:hint="eastAsia" w:ascii="仿宋_GB2312" w:hAnsi="宋体"/>
          <w:color w:val="auto"/>
          <w:sz w:val="32"/>
          <w:szCs w:val="28"/>
          <w:lang w:val="en-US" w:eastAsia="zh-CN"/>
        </w:rPr>
        <w:t>地中海</w:t>
      </w:r>
      <w:r>
        <w:rPr>
          <w:rFonts w:hint="eastAsia" w:ascii="仿宋_GB2312" w:hAnsi="宋体" w:eastAsia="仿宋_GB2312"/>
          <w:color w:val="auto"/>
          <w:sz w:val="32"/>
          <w:szCs w:val="28"/>
        </w:rPr>
        <w:t>水牛母牛体型线性评定现实情况的同时，还考虑到了</w:t>
      </w:r>
      <w:r>
        <w:rPr>
          <w:rFonts w:hint="eastAsia" w:ascii="仿宋_GB2312" w:hAnsi="宋体"/>
          <w:color w:val="auto"/>
          <w:sz w:val="32"/>
          <w:szCs w:val="28"/>
          <w:lang w:val="en-US" w:eastAsia="zh-CN"/>
        </w:rPr>
        <w:t>评定技术</w:t>
      </w:r>
      <w:r>
        <w:rPr>
          <w:rFonts w:hint="eastAsia" w:ascii="仿宋_GB2312" w:hAnsi="宋体" w:eastAsia="仿宋_GB2312"/>
          <w:color w:val="auto"/>
          <w:sz w:val="32"/>
          <w:szCs w:val="28"/>
        </w:rPr>
        <w:t>快速发展的趋势和需要，在标准中体现了个别特色性、前瞻性和先进性条款，作为对</w:t>
      </w:r>
      <w:r>
        <w:rPr>
          <w:rFonts w:hint="eastAsia" w:ascii="仿宋_GB2312" w:hAnsi="宋体"/>
          <w:color w:val="auto"/>
          <w:sz w:val="32"/>
          <w:szCs w:val="28"/>
          <w:lang w:val="en-US" w:eastAsia="zh-CN"/>
        </w:rPr>
        <w:t>评定工作</w:t>
      </w:r>
      <w:r>
        <w:rPr>
          <w:rFonts w:hint="eastAsia" w:ascii="仿宋_GB2312" w:hAnsi="宋体" w:eastAsia="仿宋_GB2312"/>
          <w:color w:val="auto"/>
          <w:sz w:val="32"/>
          <w:szCs w:val="28"/>
        </w:rPr>
        <w:t>发展的指导。</w:t>
      </w:r>
    </w:p>
    <w:p w14:paraId="323DB155">
      <w:pPr>
        <w:keepNext w:val="0"/>
        <w:keepLines w:val="0"/>
        <w:pageBreakBefore w:val="0"/>
        <w:widowControl/>
        <w:tabs>
          <w:tab w:val="center" w:pos="4201"/>
          <w:tab w:val="right" w:leader="dot" w:pos="9298"/>
        </w:tabs>
        <w:kinsoku/>
        <w:overflowPunct/>
        <w:topLinePunct w:val="0"/>
        <w:autoSpaceDE w:val="0"/>
        <w:autoSpaceDN w:val="0"/>
        <w:bidi w:val="0"/>
        <w:snapToGrid/>
        <w:spacing w:line="560" w:lineRule="exact"/>
        <w:ind w:left="0"/>
        <w:textAlignment w:val="auto"/>
        <w:outlineLvl w:val="1"/>
        <w:rPr>
          <w:rFonts w:eastAsia="仿宋"/>
          <w:b/>
          <w:bCs/>
          <w:color w:val="auto"/>
          <w:kern w:val="0"/>
          <w:sz w:val="32"/>
          <w:szCs w:val="32"/>
        </w:rPr>
      </w:pPr>
      <w:r>
        <w:rPr>
          <w:rFonts w:eastAsia="仿宋"/>
          <w:b/>
          <w:bCs/>
          <w:color w:val="auto"/>
          <w:kern w:val="0"/>
          <w:sz w:val="32"/>
          <w:szCs w:val="32"/>
        </w:rPr>
        <w:t>（二）编制依据</w:t>
      </w:r>
    </w:p>
    <w:p w14:paraId="03C8CA65">
      <w:pPr>
        <w:keepNext w:val="0"/>
        <w:keepLines w:val="0"/>
        <w:pageBreakBefore w:val="0"/>
        <w:kinsoku/>
        <w:overflowPunct/>
        <w:topLinePunct w:val="0"/>
        <w:bidi w:val="0"/>
        <w:snapToGrid/>
        <w:ind w:left="0" w:firstLine="640" w:firstLineChars="200"/>
        <w:textAlignment w:val="auto"/>
        <w:rPr>
          <w:rFonts w:eastAsia="仿宋"/>
          <w:color w:val="auto"/>
          <w:sz w:val="32"/>
          <w:szCs w:val="32"/>
        </w:rPr>
      </w:pPr>
      <w:r>
        <w:rPr>
          <w:rFonts w:eastAsia="仿宋"/>
          <w:color w:val="auto"/>
          <w:sz w:val="32"/>
          <w:szCs w:val="32"/>
        </w:rPr>
        <w:t>本标准严格按照GB/T 1.1—2020《标准化工作导则  第1部分：标准化文件的结构和起草规则》的规则起草，标准主要内容参考相关标准文件并结合起草单位多年的</w:t>
      </w:r>
      <w:r>
        <w:rPr>
          <w:rFonts w:hint="eastAsia" w:eastAsia="仿宋"/>
          <w:color w:val="auto"/>
          <w:sz w:val="32"/>
          <w:szCs w:val="32"/>
        </w:rPr>
        <w:t>相关</w:t>
      </w:r>
      <w:r>
        <w:rPr>
          <w:rFonts w:eastAsia="仿宋"/>
          <w:color w:val="auto"/>
          <w:sz w:val="32"/>
          <w:szCs w:val="32"/>
        </w:rPr>
        <w:t>经验</w:t>
      </w:r>
      <w:r>
        <w:rPr>
          <w:rFonts w:hint="eastAsia" w:eastAsia="仿宋"/>
          <w:color w:val="auto"/>
          <w:sz w:val="32"/>
          <w:szCs w:val="32"/>
        </w:rPr>
        <w:t>和实践</w:t>
      </w:r>
      <w:r>
        <w:rPr>
          <w:rFonts w:eastAsia="仿宋"/>
          <w:color w:val="auto"/>
          <w:sz w:val="32"/>
          <w:szCs w:val="32"/>
        </w:rPr>
        <w:t>验证情况总结进行起草。</w:t>
      </w:r>
    </w:p>
    <w:p w14:paraId="4909473A">
      <w:pPr>
        <w:keepNext w:val="0"/>
        <w:keepLines w:val="0"/>
        <w:pageBreakBefore w:val="0"/>
        <w:widowControl/>
        <w:tabs>
          <w:tab w:val="center" w:pos="4201"/>
          <w:tab w:val="right" w:leader="dot" w:pos="9298"/>
        </w:tabs>
        <w:kinsoku/>
        <w:overflowPunct/>
        <w:topLinePunct w:val="0"/>
        <w:autoSpaceDE w:val="0"/>
        <w:autoSpaceDN w:val="0"/>
        <w:bidi w:val="0"/>
        <w:snapToGrid/>
        <w:spacing w:line="560" w:lineRule="exact"/>
        <w:ind w:left="0"/>
        <w:textAlignment w:val="auto"/>
        <w:outlineLvl w:val="1"/>
        <w:rPr>
          <w:rFonts w:eastAsia="仿宋"/>
          <w:b/>
          <w:bCs/>
          <w:color w:val="auto"/>
          <w:kern w:val="0"/>
          <w:sz w:val="32"/>
          <w:szCs w:val="32"/>
        </w:rPr>
      </w:pPr>
      <w:r>
        <w:rPr>
          <w:rFonts w:eastAsia="仿宋"/>
          <w:b/>
          <w:bCs/>
          <w:color w:val="auto"/>
          <w:kern w:val="0"/>
          <w:sz w:val="32"/>
          <w:szCs w:val="32"/>
        </w:rPr>
        <w:t>（三）与现行法律、法规的关系，与有关国家标准、行业标准的协调情况</w:t>
      </w:r>
    </w:p>
    <w:p w14:paraId="03FE614D">
      <w:pPr>
        <w:keepNext w:val="0"/>
        <w:keepLines w:val="0"/>
        <w:pageBreakBefore w:val="0"/>
        <w:kinsoku/>
        <w:overflowPunct/>
        <w:topLinePunct w:val="0"/>
        <w:bidi w:val="0"/>
        <w:snapToGrid/>
        <w:ind w:left="0" w:firstLine="640" w:firstLineChars="200"/>
        <w:textAlignment w:val="auto"/>
        <w:rPr>
          <w:rFonts w:eastAsia="仿宋"/>
          <w:color w:val="auto"/>
          <w:sz w:val="32"/>
          <w:szCs w:val="32"/>
        </w:rPr>
      </w:pPr>
      <w:r>
        <w:rPr>
          <w:rFonts w:hint="eastAsia" w:eastAsia="仿宋"/>
          <w:color w:val="auto"/>
          <w:sz w:val="32"/>
          <w:szCs w:val="32"/>
        </w:rPr>
        <w:t>本编制工作组承诺本标准内容与各项指标不违反相关法律法规要求，且不低于国家强制性标准、推荐性国家标准和行业标准要求。</w:t>
      </w:r>
    </w:p>
    <w:p w14:paraId="753754A3">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经查阅，与</w:t>
      </w:r>
      <w:r>
        <w:rPr>
          <w:rFonts w:hint="eastAsia" w:ascii="仿宋_GB2312" w:hAnsi="宋体" w:eastAsia="仿宋_GB2312"/>
          <w:color w:val="auto"/>
          <w:sz w:val="32"/>
          <w:szCs w:val="28"/>
          <w:highlight w:val="none"/>
        </w:rPr>
        <w:t>“</w:t>
      </w:r>
      <w:r>
        <w:rPr>
          <w:rFonts w:hint="eastAsia" w:ascii="仿宋_GB2312" w:hAnsi="宋体"/>
          <w:color w:val="auto"/>
          <w:sz w:val="32"/>
          <w:szCs w:val="28"/>
          <w:highlight w:val="none"/>
          <w:lang w:val="en-US" w:eastAsia="zh-CN"/>
        </w:rPr>
        <w:t>牛  体型</w:t>
      </w:r>
      <w:r>
        <w:rPr>
          <w:rFonts w:hint="eastAsia" w:ascii="仿宋_GB2312" w:hAnsi="宋体" w:eastAsia="仿宋_GB2312"/>
          <w:color w:val="auto"/>
          <w:sz w:val="32"/>
          <w:szCs w:val="28"/>
          <w:highlight w:val="none"/>
        </w:rPr>
        <w:t>”</w:t>
      </w:r>
      <w:r>
        <w:rPr>
          <w:rFonts w:hint="eastAsia" w:ascii="仿宋_GB2312" w:hAnsi="宋体" w:eastAsia="仿宋_GB2312"/>
          <w:color w:val="auto"/>
          <w:sz w:val="32"/>
          <w:szCs w:val="28"/>
        </w:rPr>
        <w:t>相关的标准</w:t>
      </w:r>
      <w:r>
        <w:rPr>
          <w:rFonts w:hint="eastAsia" w:ascii="仿宋_GB2312" w:hAnsi="宋体"/>
          <w:color w:val="auto"/>
          <w:sz w:val="32"/>
          <w:szCs w:val="28"/>
          <w:lang w:val="en-US" w:eastAsia="zh-CN"/>
        </w:rPr>
        <w:t>主要</w:t>
      </w:r>
      <w:r>
        <w:rPr>
          <w:rFonts w:hint="eastAsia" w:ascii="仿宋_GB2312" w:hAnsi="宋体" w:eastAsia="仿宋_GB2312"/>
          <w:color w:val="auto"/>
          <w:sz w:val="32"/>
          <w:szCs w:val="28"/>
        </w:rPr>
        <w:t>有：</w:t>
      </w:r>
    </w:p>
    <w:p w14:paraId="1F39D9B0">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olor w:val="auto"/>
          <w:sz w:val="32"/>
          <w:szCs w:val="28"/>
        </w:rPr>
      </w:pPr>
      <w:r>
        <w:rPr>
          <w:rFonts w:hint="eastAsia" w:ascii="仿宋_GB2312" w:hAnsi="宋体" w:eastAsia="仿宋_GB2312"/>
          <w:color w:val="auto"/>
          <w:sz w:val="32"/>
          <w:szCs w:val="28"/>
        </w:rPr>
        <w:t>《GB/T 35568-2017  中国荷斯坦牛体型鉴定技术规程》《DB65/T 3267-2011  新疆褐牛体型线性鉴定》《DB6540/T 023-2023  新疆褐牛体型外貌线性评定技术规程》《T/DACS 002-2021  荷斯坦牛体型鉴定操作技术规范》《DB45/T 1952-2019  摩拉水牛体型线性评定》《T/GXAS 1027-2025  尼里-拉菲水牛母牛的体型线性评定》等。</w:t>
      </w:r>
    </w:p>
    <w:p w14:paraId="7FA8BB82">
      <w:pPr>
        <w:keepNext w:val="0"/>
        <w:keepLines w:val="0"/>
        <w:pageBreakBefore w:val="0"/>
        <w:kinsoku/>
        <w:overflowPunct/>
        <w:topLinePunct w:val="0"/>
        <w:bidi w:val="0"/>
        <w:snapToGrid/>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综述：现有标准主要针对其他品种水牛，而地中海水牛体躯容量、尻部等部位与其他品种水牛尺寸存在差异，使用其他品种的水牛评定指标，无法有效选出体型优良的地中海水牛，不利于指导地中海水牛良种育种工作。因此有必要根据实际生产需要，制定团体标准《地中海水牛母牛体型线性评定技术规范定》，提高地中海水牛良种选育水平，提升地中海水牛的生产性能和经济效益具有重要作用。</w:t>
      </w:r>
    </w:p>
    <w:p w14:paraId="14FD2F15">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bookmarkStart w:id="1" w:name="_Toc526940084"/>
      <w:r>
        <w:rPr>
          <w:rFonts w:hint="eastAsia" w:ascii="黑体" w:hAnsi="黑体" w:eastAsia="黑体" w:cs="仿宋_GB2312"/>
          <w:color w:val="auto"/>
          <w:sz w:val="32"/>
          <w:szCs w:val="32"/>
        </w:rPr>
        <w:t>五、</w:t>
      </w:r>
      <w:bookmarkEnd w:id="1"/>
      <w:r>
        <w:rPr>
          <w:rFonts w:hint="eastAsia" w:ascii="黑体" w:hAnsi="黑体" w:eastAsia="黑体" w:cs="仿宋_GB2312"/>
          <w:color w:val="auto"/>
          <w:sz w:val="32"/>
          <w:szCs w:val="32"/>
        </w:rPr>
        <w:t>主要条款的说明</w:t>
      </w:r>
    </w:p>
    <w:p w14:paraId="00290FD9">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olor w:val="auto"/>
          <w:sz w:val="32"/>
          <w:szCs w:val="32"/>
          <w:lang w:val="zh-CN"/>
        </w:rPr>
      </w:pPr>
      <w:r>
        <w:rPr>
          <w:rFonts w:hint="eastAsia" w:ascii="仿宋_GB2312" w:hAnsi="宋体" w:eastAsia="仿宋_GB2312"/>
          <w:color w:val="auto"/>
          <w:sz w:val="32"/>
          <w:szCs w:val="32"/>
          <w:lang w:val="zh-CN"/>
        </w:rPr>
        <w:t>广西壮族自治区水牛研究所2008年开始进行地中海型水牛的相关研究，通过《地中海型水牛种源引进及其对沼泽型水牛的杂交改良研究与示范》等项目课题的开展，对地中海水牛的生产性能、产奶性能和环境适应能力进行了系统性的研究。2018年主持的《广西水牛繁殖工程技术研究中心建设与创新示范》项目通过专家组的现场查定，项目主要在水牛重要经济相关基因分析、水牛体型外貌评定技术研究与示范、高产奶水牛快速繁育综合技术体系集成等几个方面开展研究和示范，并取得了良好成效，为解决水牛产业发展瓶颈问题提供了有效的技术手段。</w:t>
      </w:r>
    </w:p>
    <w:p w14:paraId="6C1EDCB7">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olor w:val="auto"/>
          <w:sz w:val="32"/>
          <w:szCs w:val="32"/>
          <w:lang w:val="zh-CN"/>
        </w:rPr>
      </w:pPr>
      <w:r>
        <w:rPr>
          <w:rFonts w:hint="eastAsia" w:ascii="仿宋_GB2312" w:hAnsi="宋体" w:eastAsia="仿宋_GB2312"/>
          <w:color w:val="auto"/>
          <w:sz w:val="32"/>
          <w:szCs w:val="32"/>
          <w:lang w:val="zh-CN"/>
        </w:rPr>
        <w:t>团体标准《</w:t>
      </w:r>
      <w:r>
        <w:rPr>
          <w:rFonts w:hint="eastAsia" w:ascii="仿宋_GB2312" w:hAnsi="宋体"/>
          <w:color w:val="auto"/>
          <w:szCs w:val="32"/>
          <w:lang w:val="zh-CN"/>
        </w:rPr>
        <w:t>地中海</w:t>
      </w:r>
      <w:r>
        <w:rPr>
          <w:rFonts w:hint="eastAsia" w:ascii="仿宋_GB2312" w:hAnsi="宋体" w:eastAsia="仿宋_GB2312"/>
          <w:color w:val="auto"/>
          <w:sz w:val="32"/>
          <w:szCs w:val="32"/>
          <w:lang w:val="zh-CN"/>
        </w:rPr>
        <w:t>水牛母牛体型线性评定</w:t>
      </w:r>
      <w:r>
        <w:rPr>
          <w:rFonts w:hint="eastAsia" w:ascii="仿宋_GB2312" w:hAnsi="宋体"/>
          <w:color w:val="auto"/>
          <w:sz w:val="32"/>
          <w:szCs w:val="32"/>
          <w:lang w:val="en-US" w:eastAsia="zh-CN"/>
        </w:rPr>
        <w:t>技术规范</w:t>
      </w:r>
      <w:r>
        <w:rPr>
          <w:rFonts w:hint="eastAsia" w:ascii="仿宋_GB2312" w:hAnsi="宋体" w:eastAsia="仿宋_GB2312"/>
          <w:color w:val="auto"/>
          <w:sz w:val="32"/>
          <w:szCs w:val="32"/>
          <w:lang w:val="zh-CN"/>
        </w:rPr>
        <w:t>》的主要章节内容包括：</w:t>
      </w:r>
      <w:r>
        <w:rPr>
          <w:rFonts w:hint="eastAsia" w:ascii="仿宋_GB2312" w:hAnsi="宋体"/>
          <w:color w:val="auto"/>
          <w:sz w:val="32"/>
          <w:szCs w:val="32"/>
          <w:lang w:val="en-US" w:eastAsia="zh-CN"/>
        </w:rPr>
        <w:t>术语和定义、基本要求、综合评分与等级划分</w:t>
      </w:r>
      <w:r>
        <w:rPr>
          <w:rFonts w:hint="eastAsia" w:ascii="仿宋_GB2312" w:hAnsi="宋体" w:eastAsia="仿宋_GB2312"/>
          <w:color w:val="auto"/>
          <w:sz w:val="32"/>
          <w:szCs w:val="32"/>
          <w:lang w:val="zh-CN"/>
        </w:rPr>
        <w:t>。本文件主要内容及依据来源说明如下：</w:t>
      </w:r>
    </w:p>
    <w:p w14:paraId="40C50225">
      <w:pPr>
        <w:keepNext w:val="0"/>
        <w:keepLines w:val="0"/>
        <w:pageBreakBefore w:val="0"/>
        <w:kinsoku/>
        <w:overflowPunct/>
        <w:topLinePunct w:val="0"/>
        <w:bidi w:val="0"/>
        <w:snapToGrid/>
        <w:ind w:left="0" w:firstLine="643" w:firstLineChars="200"/>
        <w:textAlignment w:val="auto"/>
        <w:rPr>
          <w:rFonts w:ascii="仿宋_GB2312" w:hAnsi="宋体" w:eastAsia="仿宋_GB2312"/>
          <w:b/>
          <w:color w:val="auto"/>
          <w:sz w:val="32"/>
          <w:szCs w:val="32"/>
          <w:lang w:val="zh-CN"/>
        </w:rPr>
      </w:pPr>
      <w:r>
        <w:rPr>
          <w:rFonts w:hint="default" w:ascii="仿宋_GB2312" w:hAnsi="宋体" w:eastAsia="仿宋_GB2312" w:cs="Times New Roman"/>
          <w:b/>
          <w:color w:val="auto"/>
          <w:kern w:val="2"/>
          <w:sz w:val="32"/>
          <w:szCs w:val="32"/>
          <w:lang w:val="zh-CN" w:eastAsia="zh-CN" w:bidi="ar-SA"/>
        </w:rPr>
        <w:t>（一）</w:t>
      </w:r>
      <w:r>
        <w:rPr>
          <w:rFonts w:hint="eastAsia" w:ascii="仿宋_GB2312" w:hAnsi="宋体" w:eastAsia="仿宋_GB2312"/>
          <w:b/>
          <w:color w:val="auto"/>
          <w:sz w:val="32"/>
          <w:szCs w:val="32"/>
          <w:lang w:val="zh-CN"/>
        </w:rPr>
        <w:t>术语与定义</w:t>
      </w:r>
    </w:p>
    <w:p w14:paraId="18FDFB3E">
      <w:pPr>
        <w:keepNext w:val="0"/>
        <w:keepLines w:val="0"/>
        <w:pageBreakBefore w:val="0"/>
        <w:kinsoku/>
        <w:overflowPunct/>
        <w:topLinePunct w:val="0"/>
        <w:bidi w:val="0"/>
        <w:snapToGrid/>
        <w:ind w:left="0" w:firstLine="640" w:firstLineChars="200"/>
        <w:textAlignment w:val="auto"/>
        <w:rPr>
          <w:rFonts w:hint="default" w:ascii="仿宋_GB2312" w:hAnsi="宋体"/>
          <w:color w:val="auto"/>
          <w:sz w:val="32"/>
          <w:szCs w:val="32"/>
          <w:lang w:val="en-US" w:eastAsia="zh-CN"/>
        </w:rPr>
      </w:pPr>
      <w:r>
        <w:rPr>
          <w:rFonts w:hint="eastAsia" w:ascii="仿宋_GB2312" w:hAnsi="宋体"/>
          <w:color w:val="auto"/>
          <w:sz w:val="32"/>
          <w:szCs w:val="32"/>
          <w:lang w:val="en-US" w:eastAsia="zh-CN"/>
        </w:rPr>
        <w:t>参考《GB/T 35568 中国荷斯坦牛体型鉴定技术规程》的内容，结合地中海水牛特点界定了地中海水牛、线性分、功能分的术语。</w:t>
      </w:r>
    </w:p>
    <w:p w14:paraId="54150E73">
      <w:pPr>
        <w:pStyle w:val="2"/>
      </w:pPr>
      <w:r>
        <w:drawing>
          <wp:inline distT="0" distB="0" distL="114300" distR="114300">
            <wp:extent cx="5687695" cy="1282700"/>
            <wp:effectExtent l="0" t="0" r="825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687695" cy="1282700"/>
                    </a:xfrm>
                    <a:prstGeom prst="rect">
                      <a:avLst/>
                    </a:prstGeom>
                    <a:noFill/>
                    <a:ln>
                      <a:noFill/>
                    </a:ln>
                  </pic:spPr>
                </pic:pic>
              </a:graphicData>
            </a:graphic>
          </wp:inline>
        </w:drawing>
      </w:r>
    </w:p>
    <w:p w14:paraId="533B59EF">
      <w:pPr>
        <w:pStyle w:val="2"/>
        <w:jc w:val="center"/>
        <w:rPr>
          <w:sz w:val="28"/>
          <w:szCs w:val="28"/>
        </w:rPr>
      </w:pPr>
      <w:r>
        <w:rPr>
          <w:rFonts w:hint="default" w:ascii="仿宋_GB2312" w:hAnsi="宋体"/>
          <w:color w:val="auto"/>
          <w:sz w:val="28"/>
          <w:szCs w:val="28"/>
          <w:lang w:eastAsia="zh-CN"/>
        </w:rPr>
        <w:t>来源：</w:t>
      </w:r>
      <w:r>
        <w:rPr>
          <w:rFonts w:hint="eastAsia" w:ascii="仿宋_GB2312" w:hAnsi="宋体"/>
          <w:color w:val="auto"/>
          <w:sz w:val="28"/>
          <w:szCs w:val="28"/>
          <w:lang w:eastAsia="zh-CN"/>
        </w:rPr>
        <w:t>《</w:t>
      </w:r>
      <w:r>
        <w:rPr>
          <w:rFonts w:hint="eastAsia" w:ascii="仿宋_GB2312" w:hAnsi="宋体"/>
          <w:color w:val="auto"/>
          <w:sz w:val="28"/>
          <w:szCs w:val="28"/>
          <w:lang w:val="en-US" w:eastAsia="zh-CN"/>
        </w:rPr>
        <w:t>GB T 35568-2017 中国荷斯坦牛体型鉴定技术规程》</w:t>
      </w:r>
    </w:p>
    <w:p w14:paraId="60F02666">
      <w:pPr>
        <w:keepNext w:val="0"/>
        <w:keepLines w:val="0"/>
        <w:pageBreakBefore w:val="0"/>
        <w:kinsoku/>
        <w:overflowPunct/>
        <w:topLinePunct w:val="0"/>
        <w:bidi w:val="0"/>
        <w:snapToGrid/>
        <w:ind w:left="0" w:firstLine="643" w:firstLineChars="200"/>
        <w:textAlignment w:val="auto"/>
        <w:rPr>
          <w:rFonts w:hint="default" w:ascii="仿宋_GB2312" w:hAnsi="宋体" w:cs="Times New Roman"/>
          <w:b/>
          <w:color w:val="auto"/>
          <w:sz w:val="32"/>
          <w:szCs w:val="32"/>
          <w:lang w:val="zh-CN" w:eastAsia="zh-CN"/>
        </w:rPr>
      </w:pPr>
      <w:r>
        <w:rPr>
          <w:rFonts w:hint="default" w:ascii="仿宋_GB2312" w:hAnsi="宋体" w:cs="Times New Roman"/>
          <w:b/>
          <w:color w:val="auto"/>
          <w:sz w:val="32"/>
          <w:szCs w:val="32"/>
          <w:lang w:val="zh-CN"/>
        </w:rPr>
        <w:t>（</w:t>
      </w:r>
      <w:r>
        <w:rPr>
          <w:rFonts w:hint="default" w:ascii="仿宋_GB2312" w:hAnsi="宋体" w:cs="Times New Roman"/>
          <w:b/>
          <w:color w:val="auto"/>
          <w:sz w:val="32"/>
          <w:szCs w:val="32"/>
          <w:lang w:val="zh-CN" w:eastAsia="zh-CN"/>
        </w:rPr>
        <w:t>二）基本要求</w:t>
      </w:r>
    </w:p>
    <w:p w14:paraId="0985CBAD">
      <w:pPr>
        <w:ind w:firstLine="640" w:firstLineChars="200"/>
        <w:rPr>
          <w:rFonts w:hint="default" w:ascii="仿宋_GB2312" w:hAnsi="宋体" w:eastAsia="仿宋_GB2312" w:cs="Times New Roman"/>
          <w:color w:val="auto"/>
          <w:kern w:val="2"/>
          <w:sz w:val="32"/>
          <w:szCs w:val="32"/>
          <w:lang w:val="en-US" w:eastAsia="zh-CN" w:bidi="ar-SA"/>
        </w:rPr>
      </w:pPr>
      <w:r>
        <w:rPr>
          <w:rFonts w:hint="eastAsia" w:ascii="仿宋_GB2312" w:hAnsi="宋体"/>
          <w:color w:val="auto"/>
          <w:sz w:val="32"/>
          <w:szCs w:val="32"/>
          <w:lang w:val="en-US" w:eastAsia="zh-CN"/>
        </w:rPr>
        <w:t>起草单位团队前期制定了《尼里-拉菲水牛母牛体型线性评定技术规范》，对于水牛体型线性评定已经积累了丰富经验。地中海水牛</w:t>
      </w:r>
      <w:r>
        <w:rPr>
          <w:rFonts w:hint="eastAsia" w:ascii="仿宋_GB2312" w:hAnsi="宋体"/>
          <w:color w:val="auto"/>
          <w:szCs w:val="32"/>
        </w:rPr>
        <w:t>1～4胎时</w:t>
      </w:r>
      <w:r>
        <w:rPr>
          <w:rFonts w:hint="eastAsia" w:ascii="仿宋_GB2312" w:hAnsi="宋体"/>
          <w:color w:val="auto"/>
          <w:szCs w:val="32"/>
          <w:lang w:val="en-US" w:eastAsia="zh-CN"/>
        </w:rPr>
        <w:t>是</w:t>
      </w:r>
      <w:r>
        <w:rPr>
          <w:rFonts w:hint="eastAsia" w:ascii="仿宋_GB2312" w:hAnsi="宋体"/>
          <w:color w:val="auto"/>
          <w:szCs w:val="32"/>
        </w:rPr>
        <w:t>母牛泌乳性能上升和趋于稳定的关键阶段，在此阶段进行体型评定，可以较为稳定地反映母牛的体型发育和生产潜力</w:t>
      </w:r>
      <w:r>
        <w:rPr>
          <w:rFonts w:hint="eastAsia" w:ascii="仿宋_GB2312" w:hAnsi="宋体"/>
          <w:color w:val="auto"/>
          <w:szCs w:val="32"/>
          <w:lang w:eastAsia="zh-CN"/>
        </w:rPr>
        <w:t>。</w:t>
      </w:r>
      <w:r>
        <w:rPr>
          <w:rFonts w:hint="eastAsia" w:ascii="仿宋_GB2312" w:hAnsi="宋体"/>
          <w:color w:val="auto"/>
          <w:szCs w:val="32"/>
        </w:rPr>
        <w:t>产后初期母牛体况尚未完全恢复，会影响体型评分的准确性。产后泌乳60～150天是母牛泌乳性能较好的阶段，乳房发育充分，便于对乳房性状（如乳房附着、乳头位置等）进行准确评定</w:t>
      </w:r>
      <w:r>
        <w:rPr>
          <w:rFonts w:hint="eastAsia" w:ascii="仿宋_GB2312" w:hAnsi="宋体"/>
          <w:color w:val="auto"/>
          <w:szCs w:val="32"/>
          <w:lang w:eastAsia="zh-CN"/>
        </w:rPr>
        <w:t>。</w:t>
      </w:r>
      <w:r>
        <w:rPr>
          <w:rFonts w:hint="eastAsia" w:ascii="仿宋_GB2312" w:hAnsi="宋体"/>
          <w:color w:val="auto"/>
          <w:szCs w:val="32"/>
          <w:lang w:val="en-US" w:eastAsia="zh-CN"/>
        </w:rPr>
        <w:t>评定场所要求</w:t>
      </w:r>
      <w:r>
        <w:rPr>
          <w:rFonts w:hint="default" w:ascii="仿宋_GB2312" w:hAnsi="宋体" w:eastAsia="仿宋_GB2312" w:cs="Times New Roman"/>
          <w:color w:val="auto"/>
          <w:kern w:val="2"/>
          <w:sz w:val="32"/>
          <w:szCs w:val="32"/>
          <w:lang w:val="en-US" w:eastAsia="zh-CN" w:bidi="ar-SA"/>
        </w:rPr>
        <w:t>场地开阔、地势平坦</w:t>
      </w:r>
      <w:r>
        <w:rPr>
          <w:rFonts w:hint="eastAsia" w:ascii="仿宋_GB2312" w:hAnsi="宋体" w:eastAsia="仿宋_GB2312" w:cs="Times New Roman"/>
          <w:color w:val="auto"/>
          <w:kern w:val="2"/>
          <w:sz w:val="32"/>
          <w:szCs w:val="32"/>
          <w:lang w:val="en-US" w:eastAsia="zh-CN" w:bidi="ar-SA"/>
        </w:rPr>
        <w:t>，以便</w:t>
      </w:r>
      <w:r>
        <w:rPr>
          <w:rFonts w:hint="default" w:ascii="仿宋_GB2312" w:hAnsi="宋体" w:eastAsia="仿宋_GB2312" w:cs="Times New Roman"/>
          <w:color w:val="auto"/>
          <w:kern w:val="2"/>
          <w:sz w:val="32"/>
          <w:szCs w:val="32"/>
          <w:lang w:val="en-US" w:eastAsia="zh-CN" w:bidi="ar-SA"/>
        </w:rPr>
        <w:t>牛只自然站立在标准姿势下，评定人员可以从前方、侧面和后方等各个角度全面、清晰地观察牛体各部位</w:t>
      </w:r>
      <w:r>
        <w:rPr>
          <w:rFonts w:hint="eastAsia" w:ascii="仿宋_GB2312" w:hAnsi="宋体" w:eastAsia="仿宋_GB2312" w:cs="Times New Roman"/>
          <w:color w:val="auto"/>
          <w:kern w:val="2"/>
          <w:sz w:val="32"/>
          <w:szCs w:val="32"/>
          <w:lang w:val="en-US" w:eastAsia="zh-CN" w:bidi="ar-SA"/>
        </w:rPr>
        <w:t>，</w:t>
      </w:r>
      <w:r>
        <w:rPr>
          <w:rFonts w:hint="default" w:ascii="仿宋_GB2312" w:hAnsi="宋体" w:eastAsia="仿宋_GB2312" w:cs="Times New Roman"/>
          <w:color w:val="auto"/>
          <w:kern w:val="2"/>
          <w:sz w:val="32"/>
          <w:szCs w:val="32"/>
          <w:lang w:val="en-US" w:eastAsia="zh-CN" w:bidi="ar-SA"/>
        </w:rPr>
        <w:t>光线明亮减少视觉误差，保证评分的客观性。</w:t>
      </w:r>
    </w:p>
    <w:p w14:paraId="191A2390">
      <w:pPr>
        <w:keepNext w:val="0"/>
        <w:keepLines w:val="0"/>
        <w:pageBreakBefore w:val="0"/>
        <w:kinsoku/>
        <w:overflowPunct/>
        <w:topLinePunct w:val="0"/>
        <w:bidi w:val="0"/>
        <w:snapToGrid/>
        <w:ind w:left="0" w:firstLine="640" w:firstLineChars="200"/>
        <w:jc w:val="center"/>
        <w:textAlignment w:val="auto"/>
      </w:pPr>
      <w:r>
        <w:drawing>
          <wp:inline distT="0" distB="0" distL="114300" distR="114300">
            <wp:extent cx="2700655" cy="1800225"/>
            <wp:effectExtent l="0" t="0" r="444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2700655" cy="1800225"/>
                    </a:xfrm>
                    <a:prstGeom prst="rect">
                      <a:avLst/>
                    </a:prstGeom>
                    <a:noFill/>
                    <a:ln>
                      <a:noFill/>
                    </a:ln>
                  </pic:spPr>
                </pic:pic>
              </a:graphicData>
            </a:graphic>
          </wp:inline>
        </w:drawing>
      </w:r>
    </w:p>
    <w:p w14:paraId="07896B69">
      <w:pPr>
        <w:pStyle w:val="2"/>
        <w:jc w:val="center"/>
        <w:rPr>
          <w:rFonts w:hint="default" w:eastAsia="宋体"/>
          <w:sz w:val="24"/>
          <w:szCs w:val="32"/>
          <w:lang w:val="en-US" w:eastAsia="zh-CN"/>
        </w:rPr>
      </w:pPr>
      <w:r>
        <w:rPr>
          <w:rFonts w:hint="eastAsia"/>
          <w:sz w:val="24"/>
          <w:szCs w:val="32"/>
          <w:lang w:val="en-US" w:eastAsia="zh-CN"/>
        </w:rPr>
        <w:t>地中海水牛</w:t>
      </w:r>
    </w:p>
    <w:p w14:paraId="63ECA1D4">
      <w:pPr>
        <w:keepNext w:val="0"/>
        <w:keepLines w:val="0"/>
        <w:pageBreakBefore w:val="0"/>
        <w:kinsoku/>
        <w:overflowPunct/>
        <w:topLinePunct w:val="0"/>
        <w:bidi w:val="0"/>
        <w:snapToGrid/>
        <w:ind w:left="0" w:firstLine="643" w:firstLineChars="200"/>
        <w:textAlignment w:val="auto"/>
        <w:rPr>
          <w:rFonts w:hint="default" w:ascii="仿宋_GB2312" w:hAnsi="宋体" w:cs="Times New Roman"/>
          <w:b/>
          <w:color w:val="auto"/>
          <w:sz w:val="32"/>
          <w:szCs w:val="32"/>
          <w:lang w:val="zh-CN" w:eastAsia="zh-CN"/>
        </w:rPr>
      </w:pPr>
      <w:r>
        <w:rPr>
          <w:rFonts w:hint="default" w:ascii="仿宋_GB2312" w:hAnsi="宋体" w:cs="Times New Roman"/>
          <w:b/>
          <w:color w:val="auto"/>
          <w:sz w:val="32"/>
          <w:szCs w:val="32"/>
          <w:lang w:val="zh-CN" w:eastAsia="zh-CN"/>
        </w:rPr>
        <w:t>（三）综合评分与等级划分</w:t>
      </w:r>
    </w:p>
    <w:p w14:paraId="77FDF28A">
      <w:pPr>
        <w:keepNext w:val="0"/>
        <w:keepLines w:val="0"/>
        <w:pageBreakBefore w:val="0"/>
        <w:kinsoku/>
        <w:overflowPunct/>
        <w:topLinePunct w:val="0"/>
        <w:bidi w:val="0"/>
        <w:snapToGrid/>
        <w:ind w:left="0" w:firstLine="640" w:firstLineChars="200"/>
        <w:textAlignment w:val="auto"/>
        <w:rPr>
          <w:rFonts w:hint="eastAsia" w:ascii="仿宋_GB2312" w:hAnsi="宋体" w:eastAsia="仿宋_GB2312" w:cs="Times New Roman"/>
          <w:color w:val="auto"/>
          <w:sz w:val="32"/>
          <w:szCs w:val="32"/>
          <w:lang w:val="zh-CN"/>
        </w:rPr>
      </w:pPr>
      <w:r>
        <w:rPr>
          <w:rFonts w:hint="eastAsia" w:ascii="仿宋_GB2312" w:hAnsi="宋体" w:cs="Times New Roman"/>
          <w:color w:val="auto"/>
          <w:sz w:val="32"/>
          <w:szCs w:val="32"/>
          <w:lang w:val="en-US" w:eastAsia="zh-CN"/>
        </w:rPr>
        <w:t>3.1</w:t>
      </w:r>
      <w:r>
        <w:rPr>
          <w:rFonts w:hint="eastAsia" w:ascii="仿宋_GB2312" w:hAnsi="宋体" w:eastAsia="仿宋_GB2312" w:cs="Times New Roman"/>
          <w:color w:val="auto"/>
          <w:sz w:val="32"/>
          <w:szCs w:val="32"/>
          <w:lang w:val="zh-CN"/>
        </w:rPr>
        <w:t>线性性状综合评分</w:t>
      </w:r>
    </w:p>
    <w:p w14:paraId="43E3C162">
      <w:pPr>
        <w:pStyle w:val="2"/>
        <w:rPr>
          <w:rFonts w:hint="eastAsia" w:ascii="仿宋_GB2312" w:hAnsi="宋体" w:eastAsia="仿宋_GB2312" w:cs="Times New Roman"/>
          <w:color w:val="auto"/>
          <w:sz w:val="32"/>
          <w:szCs w:val="32"/>
          <w:lang w:val="en-US" w:eastAsia="zh-CN"/>
        </w:rPr>
      </w:pPr>
      <w:r>
        <w:rPr>
          <w:rFonts w:hint="eastAsia" w:ascii="仿宋_GB2312" w:hAnsi="宋体" w:eastAsia="仿宋_GB2312"/>
          <w:color w:val="auto"/>
          <w:sz w:val="32"/>
          <w:szCs w:val="32"/>
          <w:lang w:val="en-US" w:eastAsia="zh-CN"/>
        </w:rPr>
        <w:t>起草单位团队</w:t>
      </w:r>
      <w:r>
        <w:rPr>
          <w:rFonts w:hint="eastAsia" w:ascii="仿宋_GB2312" w:hAnsi="宋体" w:eastAsia="仿宋_GB2312"/>
          <w:color w:val="auto"/>
          <w:sz w:val="32"/>
          <w:szCs w:val="32"/>
        </w:rPr>
        <w:t>针对地中海水牛体型线性评定开展了深入研究，《意大利地中海奶水牛引种观察初报》对引进的地中海奶水牛59头,进行近3年的适应性观察和生产性能测定。《地中海水牛杂交后代生长性能测定初报》对32头地中海杂交后代水牛生长发育前期阶段（0～12月龄）的体重、体斜长、体高、胸围、腹围等参数进行连续跟踪测定,并对其的生理生化相关指标进行了测定。《6月龄地中海水牛体重与体尺指标的相关性分析》选取186头健康的6月龄地中海水牛，测定其体重、体高、十字部高、体长、胸深、胸宽、胸围、腹围、尻宽、尻长及管围。探究 6 月龄地中海水牛体重与体尺指标之间的相关性，构建多元回归方程，研究影响地中海水牛的主要体尺指标。</w:t>
      </w:r>
    </w:p>
    <w:p w14:paraId="003B59ED">
      <w:pPr>
        <w:pStyle w:val="6"/>
        <w:widowControl/>
        <w:spacing w:before="0" w:beforeAutospacing="0" w:after="0" w:afterAutospacing="0"/>
        <w:ind w:firstLine="640" w:firstLineChars="200"/>
        <w:rPr>
          <w:rFonts w:hint="default"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参考前期起草单位制定的团体标准《</w:t>
      </w:r>
      <w:r>
        <w:rPr>
          <w:rFonts w:hint="eastAsia" w:ascii="仿宋_GB2312" w:hAnsi="宋体" w:cs="Times New Roman"/>
          <w:color w:val="auto"/>
          <w:sz w:val="32"/>
          <w:szCs w:val="32"/>
          <w:lang w:val="en-US" w:eastAsia="zh-CN"/>
        </w:rPr>
        <w:t>尼里-拉菲</w:t>
      </w:r>
      <w:r>
        <w:rPr>
          <w:rFonts w:hint="eastAsia" w:ascii="仿宋_GB2312" w:hAnsi="宋体" w:cs="Times New Roman"/>
          <w:color w:val="auto"/>
          <w:sz w:val="32"/>
          <w:szCs w:val="32"/>
        </w:rPr>
        <w:t>水牛母牛体型线性评定技术规范</w:t>
      </w:r>
      <w:r>
        <w:rPr>
          <w:rFonts w:hint="eastAsia" w:ascii="仿宋_GB2312" w:hAnsi="宋体" w:eastAsia="仿宋_GB2312" w:cs="Times New Roman"/>
          <w:color w:val="auto"/>
          <w:sz w:val="32"/>
          <w:szCs w:val="32"/>
          <w:lang w:val="en-US" w:eastAsia="zh-CN"/>
        </w:rPr>
        <w:t>》及广西地方标准《摩拉水牛体型线性评定》</w:t>
      </w:r>
      <w:r>
        <w:rPr>
          <w:rFonts w:hint="eastAsia" w:ascii="仿宋_GB2312" w:hAnsi="宋体" w:cs="Times New Roman"/>
          <w:color w:val="auto"/>
          <w:sz w:val="32"/>
          <w:szCs w:val="32"/>
          <w:lang w:val="en-US" w:eastAsia="zh-CN"/>
        </w:rPr>
        <w:t>的框架，并结合地中海水牛特点</w:t>
      </w:r>
      <w:r>
        <w:rPr>
          <w:rFonts w:hint="eastAsia" w:ascii="仿宋_GB2312" w:hAnsi="宋体" w:eastAsia="仿宋_GB2312" w:cs="Times New Roman"/>
          <w:color w:val="auto"/>
          <w:sz w:val="32"/>
          <w:szCs w:val="32"/>
          <w:lang w:val="en-US" w:eastAsia="zh-CN"/>
        </w:rPr>
        <w:t>，将</w:t>
      </w:r>
      <w:r>
        <w:rPr>
          <w:rFonts w:hint="eastAsia" w:ascii="仿宋_GB2312" w:hAnsi="宋体" w:cs="Times New Roman"/>
          <w:color w:val="auto"/>
          <w:sz w:val="32"/>
          <w:szCs w:val="32"/>
          <w:lang w:val="en-US" w:eastAsia="zh-CN"/>
        </w:rPr>
        <w:t>地中海</w:t>
      </w:r>
      <w:r>
        <w:rPr>
          <w:rFonts w:hint="eastAsia" w:ascii="仿宋_GB2312" w:hAnsi="宋体" w:eastAsia="仿宋_GB2312" w:cs="Times New Roman"/>
          <w:color w:val="auto"/>
          <w:sz w:val="32"/>
          <w:szCs w:val="32"/>
          <w:lang w:val="en-US" w:eastAsia="zh-CN"/>
        </w:rPr>
        <w:t>水牛体型线性</w:t>
      </w:r>
      <w:r>
        <w:rPr>
          <w:rFonts w:hint="eastAsia" w:ascii="仿宋_GB2312" w:hAnsi="宋体" w:cs="Times New Roman"/>
          <w:color w:val="auto"/>
          <w:sz w:val="32"/>
          <w:szCs w:val="32"/>
          <w:lang w:val="en-US" w:eastAsia="zh-CN"/>
        </w:rPr>
        <w:t>性状</w:t>
      </w:r>
      <w:bookmarkStart w:id="3" w:name="_GoBack"/>
      <w:bookmarkEnd w:id="3"/>
      <w:r>
        <w:rPr>
          <w:rFonts w:hint="eastAsia" w:ascii="仿宋_GB2312" w:hAnsi="宋体" w:eastAsia="仿宋_GB2312" w:cs="Times New Roman"/>
          <w:color w:val="auto"/>
          <w:sz w:val="32"/>
          <w:szCs w:val="32"/>
          <w:lang w:val="en-US" w:eastAsia="zh-CN"/>
        </w:rPr>
        <w:t>分为体高、胸宽、体深、体斜长、髋节距离、尻长、尻宽、尻角度、腰角间距、蹄角度、蹄踵深度、后肢侧视、骨质地、前乳房高度、前乳头位置、后乳房高度、后乳房深度、后乳腺深度、后乳房宽度、后乳头位置、棱角性</w:t>
      </w:r>
      <w:r>
        <w:rPr>
          <w:rFonts w:hint="eastAsia" w:ascii="仿宋_GB2312" w:hAnsi="宋体" w:cs="Times New Roman"/>
          <w:color w:val="auto"/>
          <w:sz w:val="32"/>
          <w:szCs w:val="32"/>
          <w:lang w:val="en-US" w:eastAsia="zh-CN"/>
        </w:rPr>
        <w:t>，在框架上与上述标准保持一致，主要突出</w:t>
      </w:r>
      <w:r>
        <w:rPr>
          <w:rFonts w:hint="eastAsia" w:ascii="仿宋_GB2312" w:hAnsi="宋体" w:eastAsia="仿宋_GB2312" w:cs="Times New Roman"/>
          <w:color w:val="auto"/>
          <w:sz w:val="32"/>
          <w:szCs w:val="32"/>
          <w:lang w:val="en-US" w:eastAsia="zh-CN"/>
        </w:rPr>
        <w:t>胸宽、体深、体斜长、髋节距离、尻宽</w:t>
      </w:r>
      <w:r>
        <w:rPr>
          <w:rFonts w:hint="eastAsia" w:ascii="仿宋_GB2312" w:hAnsi="宋体" w:cs="Times New Roman"/>
          <w:color w:val="auto"/>
          <w:sz w:val="32"/>
          <w:szCs w:val="32"/>
          <w:lang w:val="en-US" w:eastAsia="zh-CN"/>
        </w:rPr>
        <w:t>等指标的区别。</w:t>
      </w:r>
    </w:p>
    <w:p w14:paraId="055A1E90">
      <w:pPr>
        <w:pStyle w:val="2"/>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胸宽：两前肢的胸底宽度，反映胸腔容积和前躯肌肉丰满度。规范以52≤X&lt;54cm为适中值（评5分）；胸宽≥60cm（前胸开阔）评9分；＜46cm（胸部狭窄）评1分。</w:t>
      </w:r>
    </w:p>
    <w:p w14:paraId="4F08E258">
      <w:pPr>
        <w:pStyle w:val="2"/>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体深：最后一根肋骨处腹下沿的深度，与心肺容积密切相关。规范以75≤X&lt;77cm为适中值（评5分）；体深≥83cm评9分；＜69cm评1分。</w:t>
      </w:r>
    </w:p>
    <w:p w14:paraId="11E7E17B">
      <w:pPr>
        <w:pStyle w:val="2"/>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体斜长：肩点(肩胛骨与肱骨联接处)至臀端(坐骨结节后缘)的距离。以143≤X&lt;146cm为适中值（评5分）；体斜长≥155cm（体型修长）评9分；＜134cm（体型短小）评1分。</w:t>
      </w:r>
    </w:p>
    <w:p w14:paraId="5D94498D">
      <w:pPr>
        <w:pStyle w:val="2"/>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髋节距离：腰角的两前隆凸间的距离。以58≤X&lt;60cm为适中值（评5分）；≥66cm（骨盆极宽）评9分；＜52cm（骨盆狭窄）评1分。</w:t>
      </w:r>
    </w:p>
    <w:p w14:paraId="4EC7A1F0">
      <w:pPr>
        <w:pStyle w:val="2"/>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尻宽：两坐骨端之间的距离，决定后躯产肉及产犊能力。以31≤X&lt;33cm为适中值（评5分）；≥39cm评9分；＜25cm评1分。</w:t>
      </w:r>
    </w:p>
    <w:p w14:paraId="0F67555C">
      <w:pPr>
        <w:pStyle w:val="2"/>
        <w:rPr>
          <w:rFonts w:hint="eastAsia" w:ascii="仿宋_GB2312" w:hAnsi="宋体" w:eastAsia="仿宋_GB2312" w:cs="Times New Roman"/>
          <w:color w:val="auto"/>
          <w:sz w:val="32"/>
          <w:szCs w:val="32"/>
          <w:lang w:val="zh-CN"/>
        </w:rPr>
      </w:pPr>
      <w:r>
        <w:rPr>
          <w:rFonts w:hint="eastAsia" w:ascii="仿宋_GB2312" w:hAnsi="宋体" w:eastAsia="仿宋_GB2312" w:cs="Times New Roman"/>
          <w:color w:val="auto"/>
          <w:sz w:val="32"/>
          <w:szCs w:val="32"/>
          <w:lang w:val="en-US" w:eastAsia="zh-CN"/>
        </w:rPr>
        <w:t>3.2</w:t>
      </w:r>
      <w:r>
        <w:rPr>
          <w:rFonts w:hint="eastAsia" w:ascii="仿宋_GB2312" w:hAnsi="宋体" w:eastAsia="仿宋_GB2312" w:cs="Times New Roman"/>
          <w:color w:val="auto"/>
          <w:sz w:val="32"/>
          <w:szCs w:val="32"/>
          <w:lang w:val="zh-CN"/>
        </w:rPr>
        <w:t>等级划分</w:t>
      </w:r>
    </w:p>
    <w:p w14:paraId="1BD2D877">
      <w:pPr>
        <w:pStyle w:val="2"/>
        <w:rPr>
          <w:rFonts w:hint="default"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等级划分将地中海水牛母牛体型分为四个等级：综合评分≥85分划为优，75≤评分＜85分划为良，65≤评分＜75分划为中，评分＜65分划为差。</w:t>
      </w:r>
    </w:p>
    <w:p w14:paraId="412D30FF">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bookmarkStart w:id="2" w:name="_Toc526940086"/>
      <w:r>
        <w:rPr>
          <w:rFonts w:hint="eastAsia" w:ascii="黑体" w:hAnsi="黑体" w:eastAsia="黑体" w:cs="仿宋_GB2312"/>
          <w:color w:val="auto"/>
          <w:sz w:val="32"/>
          <w:szCs w:val="32"/>
        </w:rPr>
        <w:t>六、</w:t>
      </w:r>
      <w:bookmarkEnd w:id="2"/>
      <w:r>
        <w:rPr>
          <w:rFonts w:hint="eastAsia" w:ascii="黑体" w:hAnsi="黑体" w:eastAsia="黑体" w:cs="仿宋_GB2312"/>
          <w:color w:val="auto"/>
          <w:sz w:val="32"/>
          <w:szCs w:val="32"/>
        </w:rPr>
        <w:t>重大分歧意见的处理经过和依据</w:t>
      </w:r>
    </w:p>
    <w:p w14:paraId="7DBD7D8D">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本标准研制过程中无重大分歧意见。</w:t>
      </w:r>
    </w:p>
    <w:p w14:paraId="69867F09">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七</w:t>
      </w:r>
      <w:r>
        <w:rPr>
          <w:rFonts w:ascii="黑体" w:hAnsi="黑体" w:eastAsia="黑体" w:cs="仿宋_GB2312"/>
          <w:color w:val="auto"/>
          <w:sz w:val="32"/>
          <w:szCs w:val="32"/>
        </w:rPr>
        <w:t>、</w:t>
      </w:r>
      <w:r>
        <w:rPr>
          <w:rFonts w:hint="eastAsia" w:ascii="黑体" w:hAnsi="黑体" w:eastAsia="黑体" w:cs="仿宋_GB2312"/>
          <w:color w:val="auto"/>
          <w:sz w:val="32"/>
          <w:szCs w:val="32"/>
        </w:rPr>
        <w:t>实施标准的措施</w:t>
      </w:r>
    </w:p>
    <w:p w14:paraId="67C45D00">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（一）标准报批发布后，成立标准宣贯工作组</w:t>
      </w:r>
    </w:p>
    <w:p w14:paraId="7330B5F1">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EC0E2CD">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（二）组织开展标准宣贯培训</w:t>
      </w:r>
    </w:p>
    <w:p w14:paraId="38C99CE1">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29942561">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（三）开展标准实施交流会，收集标准实施反馈信息</w:t>
      </w:r>
    </w:p>
    <w:p w14:paraId="336AB236">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1F438F65">
      <w:pPr>
        <w:keepNext w:val="0"/>
        <w:keepLines w:val="0"/>
        <w:pageBreakBefore w:val="0"/>
        <w:kinsoku/>
        <w:overflowPunct/>
        <w:topLinePunct w:val="0"/>
        <w:bidi w:val="0"/>
        <w:snapToGrid/>
        <w:spacing w:line="560" w:lineRule="exact"/>
        <w:ind w:left="0" w:firstLine="643" w:firstLineChars="200"/>
        <w:textAlignment w:val="auto"/>
        <w:rPr>
          <w:rFonts w:ascii="仿宋_GB2312" w:hAnsi="宋体" w:eastAsia="仿宋_GB2312"/>
          <w:b/>
          <w:color w:val="auto"/>
          <w:sz w:val="32"/>
          <w:szCs w:val="28"/>
        </w:rPr>
      </w:pPr>
      <w:r>
        <w:rPr>
          <w:rFonts w:hint="eastAsia" w:ascii="仿宋_GB2312" w:hAnsi="宋体" w:eastAsia="仿宋_GB2312"/>
          <w:b/>
          <w:color w:val="auto"/>
          <w:sz w:val="32"/>
          <w:szCs w:val="28"/>
        </w:rPr>
        <w:t>（四）开展标准实施效果评估</w:t>
      </w:r>
    </w:p>
    <w:p w14:paraId="7DE0DDFE">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36B16457">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rPr>
        <w:t>八、其他应当说明的事项</w:t>
      </w:r>
    </w:p>
    <w:p w14:paraId="23A53EB2">
      <w:pPr>
        <w:keepNext w:val="0"/>
        <w:keepLines w:val="0"/>
        <w:pageBreakBefore w:val="0"/>
        <w:kinsoku/>
        <w:overflowPunct/>
        <w:topLinePunct w:val="0"/>
        <w:bidi w:val="0"/>
        <w:snapToGrid/>
        <w:spacing w:line="560" w:lineRule="exact"/>
        <w:ind w:left="0" w:firstLine="640" w:firstLineChars="200"/>
        <w:textAlignment w:val="auto"/>
        <w:rPr>
          <w:rFonts w:ascii="仿宋_GB2312" w:hAnsi="宋体" w:eastAsia="仿宋_GB2312"/>
          <w:color w:val="auto"/>
          <w:sz w:val="32"/>
          <w:szCs w:val="28"/>
        </w:rPr>
      </w:pPr>
      <w:r>
        <w:rPr>
          <w:rFonts w:hint="eastAsia" w:ascii="仿宋_GB2312" w:hAnsi="宋体" w:eastAsia="仿宋_GB2312"/>
          <w:color w:val="auto"/>
          <w:sz w:val="32"/>
          <w:szCs w:val="28"/>
        </w:rPr>
        <w:t>无。</w:t>
      </w:r>
    </w:p>
    <w:p w14:paraId="1562F1AF">
      <w:pPr>
        <w:keepNext w:val="0"/>
        <w:keepLines w:val="0"/>
        <w:pageBreakBefore w:val="0"/>
        <w:kinsoku/>
        <w:overflowPunct/>
        <w:topLinePunct w:val="0"/>
        <w:bidi w:val="0"/>
        <w:snapToGrid/>
        <w:spacing w:line="560" w:lineRule="exact"/>
        <w:ind w:left="0"/>
        <w:textAlignment w:val="auto"/>
        <w:rPr>
          <w:rFonts w:ascii="仿宋_GB2312" w:hAnsi="仿宋" w:eastAsia="仿宋_GB2312"/>
          <w:bCs/>
          <w:color w:val="auto"/>
          <w:sz w:val="36"/>
          <w:szCs w:val="32"/>
        </w:rPr>
      </w:pPr>
    </w:p>
    <w:p w14:paraId="0FDE70D6">
      <w:pPr>
        <w:keepNext w:val="0"/>
        <w:keepLines w:val="0"/>
        <w:pageBreakBefore w:val="0"/>
        <w:kinsoku/>
        <w:overflowPunct/>
        <w:topLinePunct w:val="0"/>
        <w:bidi w:val="0"/>
        <w:snapToGrid/>
        <w:spacing w:line="560" w:lineRule="exact"/>
        <w:ind w:left="0"/>
        <w:textAlignment w:val="auto"/>
        <w:rPr>
          <w:rFonts w:ascii="仿宋_GB2312" w:hAnsi="仿宋" w:eastAsia="仿宋_GB2312"/>
          <w:bCs/>
          <w:color w:val="auto"/>
          <w:sz w:val="36"/>
          <w:szCs w:val="32"/>
        </w:rPr>
      </w:pPr>
    </w:p>
    <w:p w14:paraId="639B864D">
      <w:pPr>
        <w:keepNext w:val="0"/>
        <w:keepLines w:val="0"/>
        <w:pageBreakBefore w:val="0"/>
        <w:kinsoku/>
        <w:wordWrap w:val="0"/>
        <w:overflowPunct/>
        <w:topLinePunct w:val="0"/>
        <w:bidi w:val="0"/>
        <w:snapToGrid/>
        <w:spacing w:line="560" w:lineRule="exact"/>
        <w:ind w:left="0"/>
        <w:jc w:val="right"/>
        <w:textAlignment w:val="auto"/>
        <w:rPr>
          <w:rFonts w:ascii="仿宋_GB2312" w:hAnsi="宋体" w:eastAsia="仿宋_GB2312"/>
          <w:color w:val="auto"/>
          <w:sz w:val="32"/>
          <w:szCs w:val="28"/>
        </w:rPr>
      </w:pPr>
      <w:r>
        <w:rPr>
          <w:rFonts w:hint="eastAsia" w:ascii="仿宋_GB2312" w:hAnsi="宋体" w:eastAsia="仿宋_GB2312"/>
          <w:color w:val="auto"/>
          <w:sz w:val="32"/>
          <w:szCs w:val="28"/>
        </w:rPr>
        <w:t>团体标准《</w:t>
      </w:r>
      <w:r>
        <w:rPr>
          <w:rFonts w:hint="eastAsia" w:ascii="仿宋_GB2312" w:hAnsi="宋体"/>
          <w:color w:val="auto"/>
          <w:szCs w:val="28"/>
          <w:lang w:val="en-US" w:eastAsia="zh-CN"/>
        </w:rPr>
        <w:t>地中海</w:t>
      </w:r>
      <w:r>
        <w:rPr>
          <w:rFonts w:hint="eastAsia" w:ascii="仿宋_GB2312" w:hAnsi="宋体"/>
          <w:color w:val="auto"/>
          <w:szCs w:val="28"/>
        </w:rPr>
        <w:t>水牛母牛体型线性评定技术规范</w:t>
      </w:r>
      <w:r>
        <w:rPr>
          <w:rFonts w:hint="eastAsia" w:ascii="仿宋_GB2312" w:hAnsi="宋体" w:eastAsia="仿宋_GB2312"/>
          <w:color w:val="auto"/>
          <w:sz w:val="32"/>
          <w:szCs w:val="28"/>
        </w:rPr>
        <w:t>》</w:t>
      </w:r>
    </w:p>
    <w:p w14:paraId="607C1987">
      <w:pPr>
        <w:keepNext w:val="0"/>
        <w:keepLines w:val="0"/>
        <w:pageBreakBefore w:val="0"/>
        <w:kinsoku/>
        <w:wordWrap w:val="0"/>
        <w:overflowPunct/>
        <w:topLinePunct w:val="0"/>
        <w:bidi w:val="0"/>
        <w:snapToGrid/>
        <w:spacing w:line="560" w:lineRule="exact"/>
        <w:ind w:left="0"/>
        <w:jc w:val="right"/>
        <w:textAlignment w:val="auto"/>
        <w:rPr>
          <w:rFonts w:ascii="仿宋_GB2312" w:hAnsi="宋体" w:eastAsia="仿宋_GB2312"/>
          <w:color w:val="auto"/>
          <w:sz w:val="32"/>
          <w:szCs w:val="28"/>
        </w:rPr>
      </w:pPr>
      <w:r>
        <w:rPr>
          <w:rFonts w:hint="eastAsia" w:ascii="仿宋_GB2312" w:hAnsi="宋体" w:eastAsia="仿宋_GB2312"/>
          <w:color w:val="auto"/>
          <w:sz w:val="32"/>
          <w:szCs w:val="28"/>
        </w:rPr>
        <w:t xml:space="preserve">标准编制工作组 </w:t>
      </w:r>
      <w:r>
        <w:rPr>
          <w:rFonts w:ascii="仿宋_GB2312" w:hAnsi="宋体" w:eastAsia="仿宋_GB2312"/>
          <w:color w:val="auto"/>
          <w:sz w:val="32"/>
          <w:szCs w:val="28"/>
        </w:rPr>
        <w:t xml:space="preserve">        </w:t>
      </w:r>
    </w:p>
    <w:p w14:paraId="10BF694A">
      <w:pPr>
        <w:keepNext w:val="0"/>
        <w:keepLines w:val="0"/>
        <w:pageBreakBefore w:val="0"/>
        <w:kinsoku/>
        <w:wordWrap w:val="0"/>
        <w:overflowPunct/>
        <w:topLinePunct w:val="0"/>
        <w:bidi w:val="0"/>
        <w:snapToGrid/>
        <w:spacing w:line="560" w:lineRule="exact"/>
        <w:ind w:left="0"/>
        <w:jc w:val="center"/>
        <w:textAlignment w:val="auto"/>
        <w:rPr>
          <w:rFonts w:hint="eastAsia" w:ascii="仿宋_GB2312" w:hAnsi="宋体" w:eastAsia="仿宋_GB2312"/>
          <w:color w:val="auto"/>
          <w:sz w:val="32"/>
          <w:szCs w:val="28"/>
        </w:rPr>
      </w:pPr>
      <w:r>
        <w:rPr>
          <w:rFonts w:hint="eastAsia" w:ascii="仿宋_GB2312" w:hAnsi="宋体"/>
          <w:color w:val="auto"/>
          <w:sz w:val="32"/>
          <w:szCs w:val="28"/>
          <w:lang w:val="en-US" w:eastAsia="zh-CN"/>
        </w:rPr>
        <w:t xml:space="preserve">                     </w:t>
      </w:r>
      <w:r>
        <w:rPr>
          <w:rFonts w:hint="eastAsia" w:ascii="仿宋_GB2312" w:hAnsi="宋体" w:eastAsia="仿宋_GB2312"/>
          <w:color w:val="auto"/>
          <w:sz w:val="32"/>
          <w:szCs w:val="28"/>
        </w:rPr>
        <w:t>20</w:t>
      </w:r>
      <w:r>
        <w:rPr>
          <w:rFonts w:hint="eastAsia" w:ascii="仿宋_GB2312" w:hAnsi="宋体"/>
          <w:color w:val="auto"/>
          <w:sz w:val="32"/>
          <w:szCs w:val="28"/>
          <w:lang w:val="en-US" w:eastAsia="zh-CN"/>
        </w:rPr>
        <w:t>26</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8</w:t>
      </w:r>
      <w:r>
        <w:rPr>
          <w:rFonts w:hint="eastAsia" w:ascii="仿宋_GB2312" w:hAnsi="宋体" w:eastAsia="仿宋_GB2312"/>
          <w:color w:val="auto"/>
          <w:sz w:val="32"/>
          <w:szCs w:val="28"/>
        </w:rPr>
        <w:t>月</w:t>
      </w:r>
      <w:r>
        <w:rPr>
          <w:rFonts w:hint="eastAsia" w:ascii="仿宋_GB2312" w:hAnsi="宋体"/>
          <w:color w:val="auto"/>
          <w:sz w:val="32"/>
          <w:szCs w:val="28"/>
          <w:lang w:val="en-US" w:eastAsia="zh-CN"/>
        </w:rPr>
        <w:t>10</w:t>
      </w:r>
      <w:r>
        <w:rPr>
          <w:rFonts w:hint="eastAsia" w:ascii="仿宋_GB2312" w:hAnsi="宋体" w:eastAsia="仿宋_GB2312"/>
          <w:color w:val="auto"/>
          <w:sz w:val="32"/>
          <w:szCs w:val="28"/>
        </w:rPr>
        <w:t xml:space="preserve">日  </w:t>
      </w:r>
    </w:p>
    <w:p w14:paraId="03B3DBEA">
      <w:pPr>
        <w:rPr>
          <w:rFonts w:hint="eastAsia" w:ascii="仿宋_GB2312" w:hAnsi="宋体" w:eastAsia="仿宋_GB2312"/>
          <w:color w:val="auto"/>
          <w:sz w:val="32"/>
          <w:szCs w:val="28"/>
        </w:rPr>
      </w:pPr>
      <w:r>
        <w:rPr>
          <w:rFonts w:hint="eastAsia" w:ascii="仿宋_GB2312" w:hAnsi="宋体" w:eastAsia="仿宋_GB2312"/>
          <w:color w:val="auto"/>
          <w:sz w:val="32"/>
          <w:szCs w:val="28"/>
        </w:rPr>
        <w:br w:type="page"/>
      </w:r>
    </w:p>
    <w:p w14:paraId="767E896C">
      <w:pPr>
        <w:keepNext w:val="0"/>
        <w:keepLines w:val="0"/>
        <w:pageBreakBefore w:val="0"/>
        <w:kinsoku/>
        <w:wordWrap w:val="0"/>
        <w:overflowPunct/>
        <w:topLinePunct w:val="0"/>
        <w:bidi w:val="0"/>
        <w:snapToGrid/>
        <w:spacing w:line="560" w:lineRule="exact"/>
        <w:ind w:left="0"/>
        <w:jc w:val="center"/>
        <w:textAlignment w:val="auto"/>
        <w:rPr>
          <w:rFonts w:ascii="仿宋_GB2312" w:hAnsi="宋体" w:eastAsia="仿宋_GB2312"/>
          <w:color w:val="auto"/>
          <w:sz w:val="32"/>
          <w:szCs w:val="28"/>
        </w:rPr>
        <w:sectPr>
          <w:footerReference r:id="rId5" w:type="default"/>
          <w:pgSz w:w="11906" w:h="16838"/>
          <w:pgMar w:top="1474" w:right="1474" w:bottom="1474" w:left="1474" w:header="851" w:footer="992" w:gutter="0"/>
          <w:cols w:space="425" w:num="1"/>
          <w:docGrid w:type="lines" w:linePitch="312" w:charSpace="0"/>
        </w:sectPr>
      </w:pPr>
    </w:p>
    <w:p w14:paraId="30C3737B">
      <w:pPr>
        <w:ind w:left="0" w:leftChars="0" w:firstLine="0" w:firstLineChars="0"/>
        <w:jc w:val="center"/>
        <w:rPr>
          <w:rFonts w:hint="eastAsia"/>
          <w:sz w:val="28"/>
          <w:szCs w:val="22"/>
          <w:lang w:val="en-US" w:eastAsia="zh-CN"/>
        </w:rPr>
      </w:pPr>
      <w:r>
        <w:rPr>
          <w:rFonts w:hint="eastAsia"/>
          <w:sz w:val="28"/>
          <w:szCs w:val="22"/>
          <w:lang w:val="en-US" w:eastAsia="zh-CN"/>
        </w:rPr>
        <w:t>附表 地中海水牛体型线性评定部分数据</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3"/>
        <w:gridCol w:w="765"/>
        <w:gridCol w:w="784"/>
        <w:gridCol w:w="727"/>
        <w:gridCol w:w="716"/>
        <w:gridCol w:w="750"/>
        <w:gridCol w:w="669"/>
        <w:gridCol w:w="681"/>
        <w:gridCol w:w="656"/>
        <w:gridCol w:w="709"/>
        <w:gridCol w:w="709"/>
        <w:gridCol w:w="709"/>
        <w:gridCol w:w="709"/>
        <w:gridCol w:w="709"/>
        <w:gridCol w:w="709"/>
        <w:gridCol w:w="709"/>
        <w:gridCol w:w="709"/>
        <w:gridCol w:w="709"/>
        <w:gridCol w:w="709"/>
        <w:gridCol w:w="709"/>
        <w:gridCol w:w="709"/>
        <w:gridCol w:w="725"/>
      </w:tblGrid>
      <w:tr w14:paraId="27441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blHeader/>
        </w:trPr>
        <w:tc>
          <w:tcPr>
            <w:tcW w:w="202" w:type="pct"/>
            <w:tcBorders>
              <w:top w:val="single" w:color="auto" w:sz="4" w:space="0"/>
              <w:left w:val="single" w:color="auto" w:sz="4" w:space="0"/>
              <w:bottom w:val="single" w:color="auto" w:sz="4" w:space="0"/>
              <w:right w:val="single" w:color="auto" w:sz="4" w:space="0"/>
            </w:tcBorders>
            <w:shd w:val="clear" w:color="auto" w:fill="auto"/>
            <w:vAlign w:val="center"/>
          </w:tcPr>
          <w:p w14:paraId="65DBD6F0">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牛号</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14:paraId="3DE25F95">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水牛</w:t>
            </w:r>
          </w:p>
          <w:p w14:paraId="76599771">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品种</w:t>
            </w:r>
          </w:p>
        </w:tc>
        <w:tc>
          <w:tcPr>
            <w:tcW w:w="251" w:type="pct"/>
            <w:tcBorders>
              <w:top w:val="single" w:color="auto" w:sz="4" w:space="0"/>
              <w:left w:val="single" w:color="auto" w:sz="4" w:space="0"/>
              <w:bottom w:val="single" w:color="auto" w:sz="4" w:space="0"/>
              <w:right w:val="single" w:color="auto" w:sz="4" w:space="0"/>
            </w:tcBorders>
            <w:shd w:val="clear" w:color="auto" w:fill="auto"/>
            <w:vAlign w:val="center"/>
          </w:tcPr>
          <w:p w14:paraId="375F6E46">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体高</w:t>
            </w:r>
          </w:p>
        </w:tc>
        <w:tc>
          <w:tcPr>
            <w:tcW w:w="232" w:type="pct"/>
            <w:tcBorders>
              <w:top w:val="single" w:color="auto" w:sz="4" w:space="0"/>
              <w:left w:val="single" w:color="auto" w:sz="4" w:space="0"/>
              <w:bottom w:val="single" w:color="auto" w:sz="4" w:space="0"/>
              <w:right w:val="single" w:color="auto" w:sz="4" w:space="0"/>
            </w:tcBorders>
            <w:shd w:val="clear" w:color="auto" w:fill="auto"/>
            <w:vAlign w:val="center"/>
          </w:tcPr>
          <w:p w14:paraId="09D0C136">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胸宽</w:t>
            </w:r>
          </w:p>
        </w:tc>
        <w:tc>
          <w:tcPr>
            <w:tcW w:w="229" w:type="pct"/>
            <w:tcBorders>
              <w:top w:val="single" w:color="auto" w:sz="4" w:space="0"/>
              <w:left w:val="single" w:color="auto" w:sz="4" w:space="0"/>
              <w:bottom w:val="single" w:color="auto" w:sz="4" w:space="0"/>
              <w:right w:val="single" w:color="auto" w:sz="4" w:space="0"/>
            </w:tcBorders>
            <w:shd w:val="clear" w:color="auto" w:fill="auto"/>
            <w:vAlign w:val="center"/>
          </w:tcPr>
          <w:p w14:paraId="70F1BC51">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体深</w:t>
            </w:r>
          </w:p>
        </w:tc>
        <w:tc>
          <w:tcPr>
            <w:tcW w:w="240" w:type="pct"/>
            <w:tcBorders>
              <w:top w:val="single" w:color="auto" w:sz="4" w:space="0"/>
              <w:left w:val="single" w:color="auto" w:sz="4" w:space="0"/>
              <w:bottom w:val="single" w:color="auto" w:sz="4" w:space="0"/>
              <w:right w:val="single" w:color="auto" w:sz="4" w:space="0"/>
            </w:tcBorders>
            <w:shd w:val="clear" w:color="auto" w:fill="auto"/>
            <w:vAlign w:val="center"/>
          </w:tcPr>
          <w:p w14:paraId="337DD230">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体斜长</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2276A053">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髋节距离</w:t>
            </w:r>
          </w:p>
        </w:tc>
        <w:tc>
          <w:tcPr>
            <w:tcW w:w="218" w:type="pct"/>
            <w:tcBorders>
              <w:top w:val="single" w:color="auto" w:sz="4" w:space="0"/>
              <w:left w:val="single" w:color="auto" w:sz="4" w:space="0"/>
              <w:bottom w:val="single" w:color="auto" w:sz="4" w:space="0"/>
              <w:right w:val="single" w:color="auto" w:sz="4" w:space="0"/>
            </w:tcBorders>
            <w:shd w:val="clear" w:color="auto" w:fill="auto"/>
            <w:vAlign w:val="center"/>
          </w:tcPr>
          <w:p w14:paraId="30741733">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尻长</w:t>
            </w:r>
          </w:p>
        </w:tc>
        <w:tc>
          <w:tcPr>
            <w:tcW w:w="210" w:type="pct"/>
            <w:tcBorders>
              <w:top w:val="single" w:color="auto" w:sz="4" w:space="0"/>
              <w:left w:val="single" w:color="auto" w:sz="4" w:space="0"/>
              <w:bottom w:val="single" w:color="auto" w:sz="4" w:space="0"/>
              <w:right w:val="single" w:color="auto" w:sz="4" w:space="0"/>
            </w:tcBorders>
            <w:shd w:val="clear" w:color="auto" w:fill="auto"/>
            <w:vAlign w:val="center"/>
          </w:tcPr>
          <w:p w14:paraId="6C3D795B">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尻宽</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5D86860C">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尻角度</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2B441BA7">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腰角</w:t>
            </w:r>
          </w:p>
          <w:p w14:paraId="5EAEB514">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间距</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7A371B4A">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蹄角度</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5D1D7926">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蹄踵</w:t>
            </w:r>
          </w:p>
          <w:p w14:paraId="54E5D4AA">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深度</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7762859A">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后肢</w:t>
            </w:r>
          </w:p>
          <w:p w14:paraId="49858E63">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侧视</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08408DDF">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骨质地</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52AC1950">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前乳房高度</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1E5C6171">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前乳头位置</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4BF38550">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后乳房高度</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77BE4F49">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后乳房深度</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1474C3FE">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后乳房宽度</w:t>
            </w:r>
          </w:p>
        </w:tc>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2AE3E84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后乳房位置</w:t>
            </w:r>
          </w:p>
        </w:tc>
        <w:tc>
          <w:tcPr>
            <w:tcW w:w="232" w:type="pct"/>
            <w:tcBorders>
              <w:top w:val="single" w:color="auto" w:sz="4" w:space="0"/>
              <w:left w:val="single" w:color="auto" w:sz="4" w:space="0"/>
              <w:bottom w:val="single" w:color="auto" w:sz="4" w:space="0"/>
              <w:right w:val="single" w:color="auto" w:sz="4" w:space="0"/>
            </w:tcBorders>
            <w:shd w:val="clear" w:color="auto" w:fill="auto"/>
            <w:vAlign w:val="center"/>
          </w:tcPr>
          <w:p w14:paraId="225CD568">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棱角性</w:t>
            </w:r>
          </w:p>
        </w:tc>
      </w:tr>
      <w:tr w14:paraId="6EF1C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5B8B07F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2146</w:t>
            </w:r>
          </w:p>
        </w:tc>
        <w:tc>
          <w:tcPr>
            <w:tcW w:w="244"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0D9396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0A42AD2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133</w:t>
            </w:r>
          </w:p>
        </w:tc>
        <w:tc>
          <w:tcPr>
            <w:tcW w:w="232"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374F330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w:t>
            </w:r>
          </w:p>
        </w:tc>
        <w:tc>
          <w:tcPr>
            <w:tcW w:w="229"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135C35E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76</w:t>
            </w:r>
          </w:p>
        </w:tc>
        <w:tc>
          <w:tcPr>
            <w:tcW w:w="240"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6BDF09A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139</w:t>
            </w:r>
          </w:p>
        </w:tc>
        <w:tc>
          <w:tcPr>
            <w:tcW w:w="214"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833DBE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18"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6DAA8C6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10"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05ACE1F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69BDB39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6F4D3DC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57FAFFD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4A82E9D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1FE2601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1BE86B0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3CAA777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4E1529F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691B965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314147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499EB6B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3710D8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4AB3886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01795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6ABF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2268</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C32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25A7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1B5F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6883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FAAD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142</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9C6D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F70B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311A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E241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E853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DFBA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2167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A43C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809D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550E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1007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FD48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969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7BCE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31FC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46A1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517A4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3BC4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2012</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EE5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521D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6097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8607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74</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59A0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F68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F17A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684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ED15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7DAD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5189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907E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CD0C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FAEE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9690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B6E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013F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7600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BD4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7222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47B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512CE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AADE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2262</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E9DE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4939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133</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6038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3FCD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76</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EE02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143</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6B1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55</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C66D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6A7C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3A68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249B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6893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F777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3C80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AA22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1AD8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0BB5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5E86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A411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CEC0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4E8A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246F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55375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B4FD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2005</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7D43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477F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A9E4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58E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98C8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28FF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55</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3FDC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1747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CB76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2854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0647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291E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67AB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0AA3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F354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4C03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8152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F5E0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8C27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2093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25A1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0CD93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A43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2003</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69C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3812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4CE1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1746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78</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28B2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151</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554D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A8B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C23D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C17D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9E9D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3D7A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EC1F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B95F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86AE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7B05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BC44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C5E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B2F5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B323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DEB2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2436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45C23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12AD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2014</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5615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6F32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D6F3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0135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3A0F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155</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AE4D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9026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5453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A27F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9E67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7389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561B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CFA4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FA3F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9916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75AF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3941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C40C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A994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ECA8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2D61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6B8AF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BEA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2010</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E4F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B4DE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F34E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363C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9A9D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700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A2B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5102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F6B9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8EC2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6A0D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19EA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E79D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8F2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B6BB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0D4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5E2C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BD4E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C8E5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C220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2672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0ED59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9FEE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F34</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8A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5B63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DB00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4A8E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9FA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319D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1EF1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2217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BDD6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03C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CA2C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EB30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6C8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450C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795E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234E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FCD0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B56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FB3C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C3DE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27D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5A995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E1FD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F17</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425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38EF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41D4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84D2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84</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4DC0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153</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A1BB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E379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E5C9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E8A1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A69A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3A0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B753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FF30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55EF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92F2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4DA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9B99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F60E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4B8D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4378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2D86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031E1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7159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F63</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47B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1A2A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7ED7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D41F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E67E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7362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2D60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6496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C387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003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225B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90D9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23D2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2CC2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9E07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15FD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E941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AB56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49F3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955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90E4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415AB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97EC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F69</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6C1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5F51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0B66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738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78</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BF9E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555E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6902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5727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F23E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E3A2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B3B9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A68A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4DB8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934E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AC64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3411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620A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9AD6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004C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CEF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07E1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70CEF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E4F6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F98</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C5FD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0856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73EA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878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25D6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1DB8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60EB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A4D8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E354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E7D1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C3C0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EF34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D3CF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10F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6D96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C4B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A9F3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290F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A16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C684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A66A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03BFF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CEC3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F31</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FEF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46D7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4248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CAD6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77</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3E0B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150</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790F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6333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0713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38EF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5FA8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B7B7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095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469C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28F3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F143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BE7C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C05D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9297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B345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1166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034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3A4E8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BC7E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F4</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207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03C9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8B6D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092C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9A38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149</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8533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53</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F79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C521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7E0E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FAA3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52C1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4A2D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D108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AB7C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1CDD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FA16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6A2B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EAEB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C32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2BB7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15F9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6359D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44B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F18</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ABC4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BBE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2A8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1107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100E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711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55</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B46A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5D93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1F7D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7B55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701E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AFAC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B953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5598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2B83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D1B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DA26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6DAE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0568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489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231D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53A4B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6761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F45</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CCF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D4AA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143</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D903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CE26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81</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5EB5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151</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E88E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689F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5EF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FF37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FD34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115F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24BC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3B97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3953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55C7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08F2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4C31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2602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F580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C3BD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A07A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2D00A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76EA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F57</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82C7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FB6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0813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C2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5767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148</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D872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4DA3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393E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0F32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32B9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4F8C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9E2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3D27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2012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699D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E82D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49AA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A86C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4A85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0DA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99E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384C1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17F1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F2</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73BA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F7EE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139</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79C6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14DA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F160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F686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2532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3B5F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AB2D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62AA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D33F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DA45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6B81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D173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C682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EE5F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272B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708F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9CA1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F56C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F6E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570CE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625D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F103</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B922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DC11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D619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9851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81</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AFDF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6552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773A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74AF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55F3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397C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16A3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A42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7E7C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E6A6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50AB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72F5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E1A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0857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1358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54D7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D27A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35D2C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F8EB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F82</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0C14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D2EA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139</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1281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46A5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B034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144</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9E6A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F570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45A7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E523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47B9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787F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5694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2CE1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2F74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7A63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1D58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EE2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F6DF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A7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F9F0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0693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3CD61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68D1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F64</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5240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7F4A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EF5B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A0D1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DB16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143</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9950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58</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6873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6DFC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50F9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0AC6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972D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95D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81B0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4894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CDF8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0C2A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8EA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CFEC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746B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DC9D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FA50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3F41B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5ECC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F16</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948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5B2C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B90B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8E5C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DF81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143</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D690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2F54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88C5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6DB4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63FD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045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A5C7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C756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CD4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AAC2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C06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6327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E460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D69E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9610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3C6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5091A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8209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F3</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A26B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7B44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B3E5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47</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BF72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2B8E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59F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58</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2D51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57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C50C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2B47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8BB3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526E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5DE4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01F8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6DE5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3158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CC68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3628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148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C088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D90B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58FCC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F7DD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F33</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A029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3D5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AB5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60DF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74</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D572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0EE9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72A4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0A1B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DC74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2A4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E094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58C4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07F9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ACF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7822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59CF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CE11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13E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1220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946E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3411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7F9E8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74A9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F20</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D75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0BA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139</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4FA1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1BE5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6163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137</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01FA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F0B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3A6E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9130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7C81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E506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EFB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9741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DB31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463D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D66F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3916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70D2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72D9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A1C7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DC06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39BF7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D5FB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F60</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218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349E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A52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CA86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C980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12E3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769A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263B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EC9C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A921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1EE0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87.5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4BB8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0642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38C7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3BA2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9B4A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680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86A6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472D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7D53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6BEE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r>
      <w:tr w14:paraId="2D0FE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3D6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F62</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5AE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E650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1B13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28B6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78</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DBF7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154</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BB7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70</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6CCE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6C82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7E23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4102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E239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D012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D82F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9AD7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EB46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E749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0B90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81FA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4DC7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6154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7E39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r>
      <w:tr w14:paraId="67771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E395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F72</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F864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8F7F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C893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EDFC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1719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142</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A3E5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62</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D220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9E4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97F1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AF65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FE42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A21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E5BD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012F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E4B7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5B40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28D7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6EF2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5327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2AAF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FD24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r>
      <w:tr w14:paraId="2A084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9A6D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F11</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60CD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BDBA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AFEB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7837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7690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135</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ABC2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0A13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CDD4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3318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D386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87D2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A5D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8020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F828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6206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7E29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1C89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8D9D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63A3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A647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15EB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r>
      <w:tr w14:paraId="6A4BE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33E2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F58</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9976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4249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B88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47</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58D4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121F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163</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220C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F201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D4E4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864A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FEA8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69F8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8AF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E732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C1D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6465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7142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D2D4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313F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50A2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7256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FD2F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r>
      <w:tr w14:paraId="43787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7810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F49</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5F1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8D88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8334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9A3C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74</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4913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C69A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A6EC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1FA2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0BA0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624A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158F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3A74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6572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AA91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41D1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B6D5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F8C8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403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7C76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9EA7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60C9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r>
      <w:tr w14:paraId="5E9CF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9A03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F83</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E63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5368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C2DB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6576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3C61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FB90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4F9D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CD33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F28A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FA7B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B090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A683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EECA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D5E4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F50F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3C15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5A84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0A77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4FD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49E9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4FBE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r>
      <w:tr w14:paraId="3F00A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D368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F25</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A96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0A6F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8858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D3C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76</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A7E8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152</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B82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308E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A61A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37C8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BCFF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0FAD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F355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30C8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5B36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3CFC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DE14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037F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F22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2796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036D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861B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r>
      <w:tr w14:paraId="0D22D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48DE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F29</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B3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D9FC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CCAA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1445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76</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BEFF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2708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58</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79A2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45</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4BBE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496D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945D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D279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2125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67F1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876A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50B4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4236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5AD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B519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7A6F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3925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4D0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r>
      <w:tr w14:paraId="5B7E1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0799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F39</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AAB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72F5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3DA9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4CB0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DB8C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F08D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E925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7B1D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7A8F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23CB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1DA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4E0D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E655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EAB4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482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362C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164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E401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D83B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FD82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327F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r>
      <w:tr w14:paraId="5286C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B7B9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F69</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589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CC45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C93D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D64D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01E1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147</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A749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55</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CE76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E746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1B90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8B80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1A3E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78.5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7796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B113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9492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B16A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2F87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0964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101A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245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3A4F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F9E9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r>
      <w:tr w14:paraId="7E32A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9393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F14</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A07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E56C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E208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1F84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68</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9C13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4417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53</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862B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9D26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5846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B8AC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65C3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70CE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5125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E9C1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B6C5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F00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DBDE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D4AB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80AA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86D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D972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r>
      <w:tr w14:paraId="617FA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A39F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F10</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BB91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B28F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F383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221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90A6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135</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835E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A862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35</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7319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A63D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774F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3C3F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BBBF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300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560E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BBAC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4C9B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3EBC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1D9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D1CB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CE13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F08B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r>
      <w:tr w14:paraId="4958E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7AD8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F1</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3E6A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25DD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D7DD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C509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73</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19C2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137</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2508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5CFF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D725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6DD7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2281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6B4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203E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DF2C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C482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3C56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5729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5A0B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D61A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C28A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DCE3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6EEB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r>
      <w:tr w14:paraId="46C0C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EE85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9025</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8E8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28E5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133</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C3F4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836D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76</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52C4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139</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9CC4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5AED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137C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F8B7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1FF8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BFAE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A626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E18D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7A84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557D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2BD5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E218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6834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5AB8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7A70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EE40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753BC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8EB9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9093</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65C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20C5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CC5F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1EE4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4222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142</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BF0B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18A8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0B73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DB11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C5C8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E24F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F5CC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C490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89BE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8AFD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DF45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77F3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C575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082A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8474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A3EE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75D18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AED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9046</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9502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34E5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C05A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29CD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74</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DDE6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93B2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0BD5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CEC9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2A0C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69EE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0B91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80B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EEA7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0149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8414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DEF5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9676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8782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79D0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1F4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7A4A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67630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A87A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9030</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745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86E4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133</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52CE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A8C0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76</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A53C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143</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1E8B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55</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B9F1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E4D7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6EB6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DB0E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B110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A932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509D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437D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8E63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0208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179D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25BC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8863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296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AB3B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58C8F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E5F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9054</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7A6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C00A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60BB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7AA5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94F4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300F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55</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D10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AE2F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E324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AA09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C98B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AA1E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D5DE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A1B1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79F1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4DC0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D5C2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2CA3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1973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92D0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3323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3D008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00A7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9082</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0B59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E521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C5C3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E22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78</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44C3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151</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91D6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5163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ACFD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82B6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3785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D0A9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F6F1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9EEE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489C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A4EC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505E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6A27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054F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E5F2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9E8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951A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5058E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1416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9068</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E31E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D667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DE41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DC66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79BE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155</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6861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C3B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28DF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3E07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3731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BF85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B01F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B86B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49E7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E5EF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48E0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B7EF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A3C0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BF11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A880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887F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10626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386B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9004</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9695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DE81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0F4E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1C57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36E2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DAF7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74A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A7B5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E9A8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5DF8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1403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8186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CAFC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119A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D046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04EF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B482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0859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172E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FC2E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61E7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16F76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FB2E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9040</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80F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558E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3980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7C37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CF99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4EC7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B38C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4C9B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F71D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AD0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0F16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AC58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69F5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5EE7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3EE7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EACB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B902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30C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12F3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BC94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87AD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1FA80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E873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9052</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A181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C9ED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2C00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6EAB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84</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6515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153</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77D1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0C81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10E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4ED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3783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BD7A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C53E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8F57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FAE0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133C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2413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C88E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151C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64EF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71ED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A0F8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0D7E6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2088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9078</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B8BD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44D4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0736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D2A5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49C8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136</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5484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6F2C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8E86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ECB5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5E06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D5D6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AF53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3803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CB03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3E2D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A544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F093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5DEE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85EC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A97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EC04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1AF53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2AE5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9058</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113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6A92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00AC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3D8C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78</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E86E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48C1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2708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1F96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74C3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09DF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4C8C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9C62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392C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5D1F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A496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92B8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BBF2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3EE0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9663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B2DE2">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7991F">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42246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491A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9056</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49C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EAFA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C6BB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6B69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79</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2E64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C24F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57</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7742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AE2C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D45D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14CC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7D55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B382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4E30E">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A7DC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CDC8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A5FA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9AF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41EF1">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6739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AF29">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6AE75">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5020E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79D3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9060</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647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sz w:val="16"/>
                <w:szCs w:val="16"/>
              </w:rPr>
              <w:t>地中海</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80E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6BEF6">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CEB5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77</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215C">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150</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2577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B034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ED17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84974">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1B49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726E0">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6BA8B">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AD97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D395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8D6A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C3A4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E9C2D">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24D5A">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FF598">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BF2E7">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53B53">
            <w:pPr>
              <w:keepNext w:val="0"/>
              <w:keepLines w:val="0"/>
              <w:pageBreakBefore w:val="0"/>
              <w:widowControl/>
              <w:suppressLineNumbers w:val="0"/>
              <w:kinsoku/>
              <w:wordWrap/>
              <w:overflowPunct/>
              <w:topLinePunct w:val="0"/>
              <w:autoSpaceDE/>
              <w:autoSpaceDN/>
              <w:bidi w:val="0"/>
              <w:adjustRightInd/>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r w14:paraId="38715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4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4EC9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范围值</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4AAF7">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127～146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2C3C8">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43～59</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D7A01">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64～84</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2AF6A">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122～164</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42B38">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36～70</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7CA03">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35～56</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6CE9E">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20～35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865E1">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19.8～38.5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1CF57">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27～49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A5EEC">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71～88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320E2">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6AC8C">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0C1F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49A9F">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3～18</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6CBF3">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2A25D">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ADBA8">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17～35</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DE6D1">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8～19</w:t>
            </w:r>
          </w:p>
        </w:tc>
        <w:tc>
          <w:tcPr>
            <w:tcW w:w="2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E5E89">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D7071">
            <w:pPr>
              <w:keepNext w:val="0"/>
              <w:keepLines w:val="0"/>
              <w:pageBreakBefore w:val="0"/>
              <w:widowControl/>
              <w:suppressLineNumbers w:val="0"/>
              <w:kinsoku/>
              <w:wordWrap/>
              <w:overflowPunct/>
              <w:topLinePunct w:val="0"/>
              <w:autoSpaceDE/>
              <w:autoSpaceDN/>
              <w:bidi w:val="0"/>
              <w:adjustRightInd/>
              <w:snapToGrid w:val="0"/>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r>
    </w:tbl>
    <w:p w14:paraId="21DAC8BA">
      <w:pPr>
        <w:pStyle w:val="2"/>
        <w:ind w:left="0" w:leftChars="0" w:firstLine="0" w:firstLineChars="0"/>
        <w:rPr>
          <w:rFonts w:hint="default"/>
          <w:lang w:val="en-US" w:eastAsia="zh-CN"/>
        </w:rPr>
      </w:pPr>
    </w:p>
    <w:sectPr>
      <w:pgSz w:w="16838" w:h="11906" w:orient="landscape"/>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14:paraId="2BE1229F">
        <w:pPr>
          <w:pStyle w:val="4"/>
          <w:jc w:val="center"/>
        </w:pPr>
        <w:r>
          <w:fldChar w:fldCharType="begin"/>
        </w:r>
        <w:r>
          <w:instrText xml:space="preserve">PAGE   \* MERGEFORMAT</w:instrText>
        </w:r>
        <w:r>
          <w:fldChar w:fldCharType="separate"/>
        </w:r>
        <w:r>
          <w:rPr>
            <w:lang w:val="zh-CN"/>
          </w:rPr>
          <w:t>7</w:t>
        </w:r>
        <w:r>
          <w:fldChar w:fldCharType="end"/>
        </w:r>
      </w:p>
    </w:sdtContent>
  </w:sdt>
  <w:p w14:paraId="76F9E80E">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5"/>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18"/>
      <w:suff w:val="nothing"/>
      <w:lvlText w:val="%1.%2.%3.%4　"/>
      <w:lvlJc w:val="left"/>
      <w:pPr>
        <w:ind w:left="0" w:firstLine="0"/>
      </w:pPr>
      <w:rPr>
        <w:rFonts w:hint="eastAsia" w:ascii="黑体" w:hAnsi="Times New Roman" w:eastAsia="黑体"/>
        <w:b w:val="0"/>
        <w:i w:val="0"/>
        <w:sz w:val="21"/>
      </w:rPr>
    </w:lvl>
    <w:lvl w:ilvl="4" w:tentative="0">
      <w:start w:val="1"/>
      <w:numFmt w:val="decimal"/>
      <w:pStyle w:val="19"/>
      <w:suff w:val="nothing"/>
      <w:lvlText w:val="%1.%2.%3.%4.%5　"/>
      <w:lvlJc w:val="left"/>
      <w:pPr>
        <w:ind w:left="0" w:firstLine="0"/>
      </w:pPr>
      <w:rPr>
        <w:rFonts w:hint="eastAsia" w:ascii="黑体" w:hAnsi="Times New Roman" w:eastAsia="黑体"/>
        <w:b w:val="0"/>
        <w:i w:val="0"/>
        <w:sz w:val="21"/>
      </w:rPr>
    </w:lvl>
    <w:lvl w:ilvl="5" w:tentative="0">
      <w:start w:val="1"/>
      <w:numFmt w:val="decimal"/>
      <w:pStyle w:val="2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2"/>
      <w:suff w:val="space"/>
      <w:lvlText w:val="%1"/>
      <w:lvlJc w:val="left"/>
      <w:pPr>
        <w:ind w:left="623" w:hanging="425"/>
      </w:pPr>
      <w:rPr>
        <w:rFonts w:hint="eastAsia"/>
      </w:rPr>
    </w:lvl>
    <w:lvl w:ilvl="1" w:tentative="0">
      <w:start w:val="1"/>
      <w:numFmt w:val="decimal"/>
      <w:pStyle w:val="2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557C2AF5"/>
    <w:multiLevelType w:val="multilevel"/>
    <w:tmpl w:val="557C2AF5"/>
    <w:lvl w:ilvl="0" w:tentative="0">
      <w:start w:val="1"/>
      <w:numFmt w:val="decimal"/>
      <w:pStyle w:val="1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46260FA"/>
    <w:multiLevelType w:val="multilevel"/>
    <w:tmpl w:val="646260FA"/>
    <w:lvl w:ilvl="0" w:tentative="0">
      <w:start w:val="1"/>
      <w:numFmt w:val="decimal"/>
      <w:pStyle w:val="1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pStyle w:val="37"/>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7"/>
  </w:num>
  <w:num w:numId="2">
    <w:abstractNumId w:val="5"/>
  </w:num>
  <w:num w:numId="3">
    <w:abstractNumId w:val="3"/>
  </w:num>
  <w:num w:numId="4">
    <w:abstractNumId w:val="0"/>
  </w:num>
  <w:num w:numId="5">
    <w:abstractNumId w:val="4"/>
  </w:num>
  <w:num w:numId="6">
    <w:abstractNumId w:val="2"/>
  </w:num>
  <w:num w:numId="7">
    <w:abstractNumId w:val="1"/>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0709F"/>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CE5D1C"/>
    <w:rsid w:val="024C0DD3"/>
    <w:rsid w:val="039E595D"/>
    <w:rsid w:val="070F07F6"/>
    <w:rsid w:val="0724643B"/>
    <w:rsid w:val="08083403"/>
    <w:rsid w:val="09306D58"/>
    <w:rsid w:val="09AE270E"/>
    <w:rsid w:val="09BE5E2A"/>
    <w:rsid w:val="0A091F73"/>
    <w:rsid w:val="0A8504E9"/>
    <w:rsid w:val="0B7C0033"/>
    <w:rsid w:val="0D92619C"/>
    <w:rsid w:val="0DB50E78"/>
    <w:rsid w:val="0E4C5F96"/>
    <w:rsid w:val="0EB020D5"/>
    <w:rsid w:val="0F412CA9"/>
    <w:rsid w:val="0F501F02"/>
    <w:rsid w:val="0F7F6343"/>
    <w:rsid w:val="0FC95811"/>
    <w:rsid w:val="0FD566D2"/>
    <w:rsid w:val="136441CE"/>
    <w:rsid w:val="13B2170D"/>
    <w:rsid w:val="13B97480"/>
    <w:rsid w:val="13C0517C"/>
    <w:rsid w:val="13DF4301"/>
    <w:rsid w:val="14034EB5"/>
    <w:rsid w:val="14870494"/>
    <w:rsid w:val="14AA3E63"/>
    <w:rsid w:val="15085E8C"/>
    <w:rsid w:val="15174F60"/>
    <w:rsid w:val="1556095A"/>
    <w:rsid w:val="167D7F24"/>
    <w:rsid w:val="17306AB5"/>
    <w:rsid w:val="17373F64"/>
    <w:rsid w:val="18AD628E"/>
    <w:rsid w:val="191C10A7"/>
    <w:rsid w:val="19A054D6"/>
    <w:rsid w:val="19C808E7"/>
    <w:rsid w:val="1B0717C8"/>
    <w:rsid w:val="1B5054C3"/>
    <w:rsid w:val="1BE33681"/>
    <w:rsid w:val="1E197963"/>
    <w:rsid w:val="1EDD3086"/>
    <w:rsid w:val="20352F51"/>
    <w:rsid w:val="20653288"/>
    <w:rsid w:val="207C511D"/>
    <w:rsid w:val="21862EC6"/>
    <w:rsid w:val="22AE0B0E"/>
    <w:rsid w:val="232C1EE7"/>
    <w:rsid w:val="234F3742"/>
    <w:rsid w:val="237A2B2A"/>
    <w:rsid w:val="24E717EB"/>
    <w:rsid w:val="269C3DEE"/>
    <w:rsid w:val="272F1FA5"/>
    <w:rsid w:val="275D6B12"/>
    <w:rsid w:val="27644345"/>
    <w:rsid w:val="276F6846"/>
    <w:rsid w:val="284101E2"/>
    <w:rsid w:val="29E45E43"/>
    <w:rsid w:val="2ACE3EC4"/>
    <w:rsid w:val="2C4F36F5"/>
    <w:rsid w:val="2CE06052"/>
    <w:rsid w:val="2CF60F59"/>
    <w:rsid w:val="2D5F22BD"/>
    <w:rsid w:val="2D9E1C33"/>
    <w:rsid w:val="2DA50E24"/>
    <w:rsid w:val="2F10090E"/>
    <w:rsid w:val="2FF37D11"/>
    <w:rsid w:val="3013049D"/>
    <w:rsid w:val="30457642"/>
    <w:rsid w:val="31D16A7B"/>
    <w:rsid w:val="32911D66"/>
    <w:rsid w:val="332C3D99"/>
    <w:rsid w:val="33B95A18"/>
    <w:rsid w:val="34313801"/>
    <w:rsid w:val="365875C5"/>
    <w:rsid w:val="385E4116"/>
    <w:rsid w:val="39356049"/>
    <w:rsid w:val="3A9F4B09"/>
    <w:rsid w:val="3B4E60E4"/>
    <w:rsid w:val="3BDC6748"/>
    <w:rsid w:val="3BFE2074"/>
    <w:rsid w:val="3CEA09F1"/>
    <w:rsid w:val="3F5C54AA"/>
    <w:rsid w:val="3F8C7277"/>
    <w:rsid w:val="3FA0222F"/>
    <w:rsid w:val="3FF322B2"/>
    <w:rsid w:val="40E42AA8"/>
    <w:rsid w:val="41BC1DE0"/>
    <w:rsid w:val="42D769B6"/>
    <w:rsid w:val="44F600D3"/>
    <w:rsid w:val="45617704"/>
    <w:rsid w:val="457A48DC"/>
    <w:rsid w:val="469017E1"/>
    <w:rsid w:val="48B048DB"/>
    <w:rsid w:val="4B8C0594"/>
    <w:rsid w:val="4C0F7B1B"/>
    <w:rsid w:val="4CFE380A"/>
    <w:rsid w:val="4D862B8C"/>
    <w:rsid w:val="4DFF35F5"/>
    <w:rsid w:val="4E8B1908"/>
    <w:rsid w:val="4EF47599"/>
    <w:rsid w:val="4FE3578A"/>
    <w:rsid w:val="51652956"/>
    <w:rsid w:val="54E94B5B"/>
    <w:rsid w:val="55661639"/>
    <w:rsid w:val="55761622"/>
    <w:rsid w:val="588F24F9"/>
    <w:rsid w:val="58B101BD"/>
    <w:rsid w:val="5A2F2495"/>
    <w:rsid w:val="5BD857FA"/>
    <w:rsid w:val="5C080481"/>
    <w:rsid w:val="5DFB41A1"/>
    <w:rsid w:val="5E202145"/>
    <w:rsid w:val="5F54384C"/>
    <w:rsid w:val="5F621BCD"/>
    <w:rsid w:val="602F41C6"/>
    <w:rsid w:val="6031647B"/>
    <w:rsid w:val="60E44EE0"/>
    <w:rsid w:val="61963763"/>
    <w:rsid w:val="6198016C"/>
    <w:rsid w:val="62634A62"/>
    <w:rsid w:val="62F74A7A"/>
    <w:rsid w:val="632F68AE"/>
    <w:rsid w:val="64371FB1"/>
    <w:rsid w:val="668E2223"/>
    <w:rsid w:val="683026D9"/>
    <w:rsid w:val="689A6DDC"/>
    <w:rsid w:val="693F388B"/>
    <w:rsid w:val="6AC50223"/>
    <w:rsid w:val="6CFD7F22"/>
    <w:rsid w:val="6D305454"/>
    <w:rsid w:val="6DBA21A1"/>
    <w:rsid w:val="6FC61841"/>
    <w:rsid w:val="71C64881"/>
    <w:rsid w:val="7258372B"/>
    <w:rsid w:val="730833A3"/>
    <w:rsid w:val="73731F46"/>
    <w:rsid w:val="781465BF"/>
    <w:rsid w:val="78AF3D07"/>
    <w:rsid w:val="79364779"/>
    <w:rsid w:val="7AF5051C"/>
    <w:rsid w:val="7BBA680A"/>
    <w:rsid w:val="7BE826AE"/>
    <w:rsid w:val="7CB662DA"/>
    <w:rsid w:val="7CCF532E"/>
    <w:rsid w:val="7E00338F"/>
    <w:rsid w:val="7F475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正文-公1"/>
    <w:basedOn w:val="1"/>
    <w:qFormat/>
    <w:uiPriority w:val="0"/>
    <w:pPr>
      <w:ind w:firstLine="200" w:firstLineChars="200"/>
      <w:jc w:val="left"/>
    </w:pPr>
    <w:rPr>
      <w:rFonts w:ascii="Times New Roman" w:hAnsi="Times New Roman" w:eastAsia="宋体"/>
      <w:sz w:val="21"/>
    </w:rPr>
  </w:style>
  <w:style w:type="paragraph" w:styleId="3">
    <w:name w:val="Balloon Text"/>
    <w:basedOn w:val="1"/>
    <w:link w:val="36"/>
    <w:semiHidden/>
    <w:unhideWhenUsed/>
    <w:qFormat/>
    <w:uiPriority w:val="0"/>
    <w:rPr>
      <w:sz w:val="18"/>
      <w:szCs w:val="18"/>
    </w:rPr>
  </w:style>
  <w:style w:type="paragraph" w:styleId="4">
    <w:name w:val="footer"/>
    <w:basedOn w:val="1"/>
    <w:link w:val="28"/>
    <w:qFormat/>
    <w:uiPriority w:val="99"/>
    <w:pPr>
      <w:tabs>
        <w:tab w:val="center" w:pos="4153"/>
        <w:tab w:val="right" w:pos="8306"/>
      </w:tabs>
      <w:snapToGrid w:val="0"/>
      <w:jc w:val="left"/>
    </w:pPr>
    <w:rPr>
      <w:sz w:val="18"/>
      <w:szCs w:val="18"/>
    </w:rPr>
  </w:style>
  <w:style w:type="paragraph" w:styleId="5">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kern w:val="0"/>
      <w:sz w:val="24"/>
    </w:rPr>
  </w:style>
  <w:style w:type="table" w:styleId="8">
    <w:name w:val="Table Grid"/>
    <w:basedOn w:val="7"/>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Hyperlink"/>
    <w:basedOn w:val="9"/>
    <w:unhideWhenUsed/>
    <w:qFormat/>
    <w:uiPriority w:val="99"/>
    <w:rPr>
      <w:color w:val="0000FF"/>
      <w:u w:val="single"/>
    </w:rPr>
  </w:style>
  <w:style w:type="paragraph" w:customStyle="1" w:styleId="11">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正文表标题"/>
    <w:next w:val="11"/>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3">
    <w:name w:val="正文图标题"/>
    <w:next w:val="11"/>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5">
    <w:name w:val="一级条标题"/>
    <w:next w:val="11"/>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6">
    <w:name w:val="章标题"/>
    <w:next w:val="11"/>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7">
    <w:name w:val="二级条标题"/>
    <w:basedOn w:val="15"/>
    <w:next w:val="11"/>
    <w:qFormat/>
    <w:uiPriority w:val="0"/>
    <w:pPr>
      <w:numPr>
        <w:ilvl w:val="2"/>
      </w:numPr>
      <w:spacing w:before="50" w:after="50"/>
      <w:outlineLvl w:val="3"/>
    </w:pPr>
  </w:style>
  <w:style w:type="paragraph" w:customStyle="1" w:styleId="18">
    <w:name w:val="三级条标题"/>
    <w:basedOn w:val="17"/>
    <w:next w:val="11"/>
    <w:qFormat/>
    <w:uiPriority w:val="0"/>
    <w:pPr>
      <w:numPr>
        <w:ilvl w:val="3"/>
      </w:numPr>
      <w:outlineLvl w:val="4"/>
    </w:pPr>
  </w:style>
  <w:style w:type="paragraph" w:customStyle="1" w:styleId="19">
    <w:name w:val="四级条标题"/>
    <w:basedOn w:val="18"/>
    <w:next w:val="11"/>
    <w:qFormat/>
    <w:uiPriority w:val="0"/>
    <w:pPr>
      <w:numPr>
        <w:ilvl w:val="4"/>
      </w:numPr>
      <w:outlineLvl w:val="5"/>
    </w:pPr>
  </w:style>
  <w:style w:type="paragraph" w:customStyle="1" w:styleId="20">
    <w:name w:val="五级条标题"/>
    <w:basedOn w:val="19"/>
    <w:next w:val="11"/>
    <w:qFormat/>
    <w:uiPriority w:val="0"/>
    <w:pPr>
      <w:numPr>
        <w:ilvl w:val="5"/>
      </w:numPr>
      <w:outlineLvl w:val="6"/>
    </w:pPr>
  </w:style>
  <w:style w:type="paragraph" w:customStyle="1" w:styleId="21">
    <w:name w:val="注："/>
    <w:next w:val="11"/>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2">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3">
    <w:name w:val="附录图标题"/>
    <w:basedOn w:val="1"/>
    <w:next w:val="11"/>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4">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5">
    <w:name w:val="图表脚注说明"/>
    <w:basedOn w:val="1"/>
    <w:qFormat/>
    <w:uiPriority w:val="0"/>
    <w:pPr>
      <w:numPr>
        <w:ilvl w:val="0"/>
        <w:numId w:val="7"/>
      </w:numPr>
    </w:pPr>
    <w:rPr>
      <w:rFonts w:ascii="宋体"/>
      <w:sz w:val="18"/>
      <w:szCs w:val="18"/>
    </w:rPr>
  </w:style>
  <w:style w:type="character" w:customStyle="1" w:styleId="26">
    <w:name w:val="段 Char"/>
    <w:basedOn w:val="9"/>
    <w:link w:val="11"/>
    <w:qFormat/>
    <w:uiPriority w:val="0"/>
    <w:rPr>
      <w:rFonts w:ascii="宋体"/>
      <w:sz w:val="21"/>
      <w:lang w:val="en-US" w:eastAsia="zh-CN" w:bidi="ar-SA"/>
    </w:rPr>
  </w:style>
  <w:style w:type="character" w:customStyle="1" w:styleId="27">
    <w:name w:val="页眉 字符"/>
    <w:basedOn w:val="9"/>
    <w:link w:val="5"/>
    <w:qFormat/>
    <w:uiPriority w:val="0"/>
    <w:rPr>
      <w:kern w:val="2"/>
      <w:sz w:val="18"/>
      <w:szCs w:val="18"/>
    </w:rPr>
  </w:style>
  <w:style w:type="character" w:customStyle="1" w:styleId="28">
    <w:name w:val="页脚 字符"/>
    <w:basedOn w:val="9"/>
    <w:link w:val="4"/>
    <w:qFormat/>
    <w:uiPriority w:val="99"/>
    <w:rPr>
      <w:kern w:val="2"/>
      <w:sz w:val="18"/>
      <w:szCs w:val="18"/>
    </w:rPr>
  </w:style>
  <w:style w:type="paragraph" w:customStyle="1" w:styleId="29">
    <w:name w:val="附录表标题"/>
    <w:basedOn w:val="1"/>
    <w:next w:val="11"/>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30">
    <w:name w:val="List Paragraph"/>
    <w:basedOn w:val="1"/>
    <w:unhideWhenUsed/>
    <w:qFormat/>
    <w:uiPriority w:val="34"/>
    <w:pPr>
      <w:ind w:firstLine="420" w:firstLineChars="200"/>
    </w:pPr>
  </w:style>
  <w:style w:type="paragraph" w:customStyle="1" w:styleId="3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3">
    <w:name w:val="发布"/>
    <w:qFormat/>
    <w:uiPriority w:val="0"/>
    <w:rPr>
      <w:rFonts w:ascii="黑体" w:eastAsia="黑体"/>
      <w:spacing w:val="22"/>
      <w:w w:val="100"/>
      <w:position w:val="3"/>
      <w:sz w:val="28"/>
    </w:rPr>
  </w:style>
  <w:style w:type="paragraph" w:customStyle="1" w:styleId="34">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6">
    <w:name w:val="批注框文本 字符"/>
    <w:basedOn w:val="9"/>
    <w:link w:val="3"/>
    <w:semiHidden/>
    <w:qFormat/>
    <w:uiPriority w:val="0"/>
    <w:rPr>
      <w:rFonts w:ascii="Times New Roman" w:hAnsi="Times New Roman"/>
      <w:kern w:val="2"/>
      <w:sz w:val="18"/>
      <w:szCs w:val="18"/>
    </w:rPr>
  </w:style>
  <w:style w:type="paragraph" w:customStyle="1" w:styleId="37">
    <w:name w:val="标准文件_附录一级条标题"/>
    <w:next w:val="35"/>
    <w:qFormat/>
    <w:uiPriority w:val="0"/>
    <w:pPr>
      <w:widowControl w:val="0"/>
      <w:numPr>
        <w:ilvl w:val="1"/>
        <w:numId w:val="9"/>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38">
    <w:name w:val="标准文件_正文表标题"/>
    <w:next w:val="35"/>
    <w:qFormat/>
    <w:uiPriority w:val="0"/>
    <w:pPr>
      <w:tabs>
        <w:tab w:val="left" w:pos="0"/>
      </w:tabs>
      <w:spacing w:beforeLines="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19</Pages>
  <Words>8566</Words>
  <Characters>8982</Characters>
  <Lines>2</Lines>
  <Paragraphs>5</Paragraphs>
  <TotalTime>1</TotalTime>
  <ScaleCrop>false</ScaleCrop>
  <LinksUpToDate>false</LinksUpToDate>
  <CharactersWithSpaces>9079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河中鱼</cp:lastModifiedBy>
  <cp:lastPrinted>2019-07-10T11:21:00Z</cp:lastPrinted>
  <dcterms:modified xsi:type="dcterms:W3CDTF">2026-08-17T09:43:10Z</dcterms:modified>
  <dc:title>广西地方标准《脱氢枞酸》（征求意见稿）</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484DF7F1BEB842158BCD0584349217B5</vt:lpwstr>
  </property>
  <property fmtid="{D5CDD505-2E9C-101B-9397-08002B2CF9AE}" pid="4" name="KSOTemplateDocerSaveRecord">
    <vt:lpwstr>eyJoZGlkIjoiYWU5ODIyNDQzMTFlYmNiMzlhMmFkNjExNWM2YjM4YTYiLCJ1c2VySWQiOiIxNjgzMDY0NzMzIn0=</vt:lpwstr>
  </property>
</Properties>
</file>